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AC5857" w:rsidP="00D44968">
            <w:pPr>
              <w:suppressLineNumbers/>
              <w:jc w:val="both"/>
              <w:rPr>
                <w:rFonts w:ascii="Arial" w:hAnsi="Arial"/>
                <w:b/>
                <w:bCs/>
                <w:sz w:val="26"/>
                <w:szCs w:val="26"/>
                <w:rtl/>
              </w:rPr>
            </w:pPr>
            <w:r>
              <w:rPr>
                <w:rFonts w:ascii="Arial" w:hAnsi="Arial" w:hint="cs"/>
                <w:b/>
                <w:bCs/>
                <w:sz w:val="26"/>
                <w:szCs w:val="26"/>
                <w:rtl/>
              </w:rPr>
              <w:t>ל</w:t>
            </w:r>
            <w:r w:rsidR="0094424E"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פאול שטרק</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0F74DB" w:rsidRDefault="002265B9">
                <w:pPr>
                  <w:suppressLineNumbers/>
                  <w:rPr>
                    <w:rFonts w:ascii="Arial" w:hAnsi="Arial"/>
                    <w:b/>
                    <w:bCs/>
                    <w:noProof w:val="0"/>
                    <w:sz w:val="26"/>
                    <w:szCs w:val="26"/>
                    <w:rtl/>
                  </w:rPr>
                </w:pPr>
                <w:r>
                  <w:rPr>
                    <w:rFonts w:ascii="Arial" w:hAnsi="Arial"/>
                    <w:b/>
                    <w:bCs/>
                    <w:noProof w:val="0"/>
                    <w:sz w:val="26"/>
                    <w:szCs w:val="26"/>
                    <w:rtl/>
                  </w:rPr>
                  <w:t>מאשימה</w:t>
                </w:r>
              </w:p>
            </w:sdtContent>
          </w:sdt>
        </w:tc>
        <w:tc>
          <w:tcPr>
            <w:tcW w:w="5571" w:type="dxa"/>
          </w:tcPr>
          <w:p w:rsidR="00FA7FD0" w:rsidRDefault="00FA7FD0" w:rsidP="00D44968">
            <w:pPr>
              <w:suppressLineNumbers/>
              <w:rPr>
                <w:rtl/>
              </w:rPr>
            </w:pPr>
          </w:p>
          <w:p w:rsidR="0094424E" w:rsidRDefault="00DF1919" w:rsidP="00FE09EC">
            <w:pPr>
              <w:suppressLineNumbers/>
              <w:rPr>
                <w:b/>
                <w:bCs/>
                <w:noProof w:val="0"/>
                <w:sz w:val="26"/>
                <w:szCs w:val="26"/>
              </w:rPr>
            </w:pP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E765F7">
                  <w:rPr>
                    <w:rFonts w:ascii="Arial" w:hAnsi="Arial"/>
                    <w:b/>
                    <w:bCs/>
                    <w:noProof w:val="0"/>
                    <w:sz w:val="26"/>
                    <w:szCs w:val="26"/>
                    <w:rtl/>
                  </w:rPr>
                  <w:t>מדינת ישראל</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DF1919" w:rsidP="002F3B38">
            <w:pPr>
              <w:suppressLineNumbers/>
              <w:rPr>
                <w:rFonts w:ascii="Arial" w:hAnsi="Arial"/>
                <w:b/>
                <w:bCs/>
                <w:noProof w:val="0"/>
                <w:sz w:val="26"/>
                <w:szCs w:val="26"/>
              </w:rPr>
            </w:pPr>
            <w:sdt>
              <w:sdtPr>
                <w:rPr>
                  <w:rtl/>
                </w:rPr>
                <w:alias w:val="1184"/>
                <w:tag w:val="1184"/>
                <w:id w:val="-340621022"/>
                <w:text w:multiLine="1"/>
              </w:sdtPr>
              <w:sdtEndPr/>
              <w:sdtContent>
                <w:r w:rsidR="00E765F7">
                  <w:rPr>
                    <w:rFonts w:ascii="Arial" w:hAnsi="Arial"/>
                    <w:b/>
                    <w:bCs/>
                    <w:noProof w:val="0"/>
                    <w:sz w:val="26"/>
                    <w:szCs w:val="26"/>
                    <w:rtl/>
                  </w:rPr>
                  <w:t>נאשם</w:t>
                </w:r>
              </w:sdtContent>
            </w:sdt>
          </w:p>
        </w:tc>
        <w:tc>
          <w:tcPr>
            <w:tcW w:w="5571" w:type="dxa"/>
          </w:tcPr>
          <w:p w:rsidR="00CF6BB7" w:rsidRPr="00CD516B" w:rsidRDefault="00DF1919" w:rsidP="00FE09EC">
            <w:pPr>
              <w:suppressLineNumbers/>
              <w:rPr>
                <w:rFonts w:ascii="Arial" w:hAnsi="Arial"/>
                <w:b/>
                <w:bCs/>
                <w:noProof w:val="0"/>
                <w:sz w:val="26"/>
                <w:szCs w:val="26"/>
                <w:rtl/>
              </w:rPr>
            </w:pP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E765F7">
                  <w:rPr>
                    <w:rFonts w:ascii="Arial" w:hAnsi="Arial"/>
                    <w:b/>
                    <w:bCs/>
                    <w:noProof w:val="0"/>
                    <w:sz w:val="26"/>
                    <w:szCs w:val="26"/>
                    <w:rtl/>
                  </w:rPr>
                  <w:t>ליאור כהן</w:t>
                </w:r>
              </w:sdtContent>
            </w:sdt>
          </w:p>
        </w:tc>
      </w:tr>
      <w:tr w:rsidR="00CF6BB7" w:rsidTr="00280865">
        <w:trPr>
          <w:jc w:val="center"/>
        </w:trPr>
        <w:tc>
          <w:tcPr>
            <w:tcW w:w="8820" w:type="dxa"/>
            <w:gridSpan w:val="3"/>
          </w:tcPr>
          <w:p w:rsidR="00CF6BB7" w:rsidRDefault="00CF6BB7" w:rsidP="00D44968">
            <w:pPr>
              <w:suppressLineNumbers/>
            </w:pPr>
          </w:p>
          <w:p w:rsidR="00CF6BB7" w:rsidRDefault="00CF6BB7" w:rsidP="00D44968">
            <w:pPr>
              <w:suppressLineNumbers/>
              <w:rPr>
                <w:rtl/>
              </w:rPr>
            </w:pPr>
          </w:p>
        </w:tc>
      </w:tr>
      <w:tr w:rsidR="00CF6BB7">
        <w:trPr>
          <w:jc w:val="center"/>
        </w:trPr>
        <w:tc>
          <w:tcPr>
            <w:tcW w:w="3249" w:type="dxa"/>
            <w:gridSpan w:val="2"/>
          </w:tcPr>
          <w:p w:rsidR="00B62AD7" w:rsidRPr="00B62AD7" w:rsidRDefault="00B62AD7" w:rsidP="00B66717">
            <w:pPr>
              <w:rPr>
                <w:rFonts w:ascii="David" w:eastAsia="David" w:hAnsi="David"/>
                <w:b/>
                <w:bCs/>
                <w:noProof w:val="0"/>
              </w:rPr>
            </w:pPr>
          </w:p>
        </w:tc>
        <w:tc>
          <w:tcPr>
            <w:tcW w:w="5571" w:type="dxa"/>
          </w:tcPr>
          <w:p w:rsidR="00CF6BB7" w:rsidRDefault="00DF1919" w:rsidP="00B66717">
            <w:pPr>
              <w:rPr>
                <w:b/>
                <w:bCs/>
                <w:sz w:val="26"/>
                <w:szCs w:val="26"/>
                <w:rtl/>
              </w:rPr>
            </w:pPr>
            <w:sdt>
              <w:sdtPr>
                <w:rPr>
                  <w:b/>
                  <w:bCs/>
                  <w:sz w:val="26"/>
                  <w:szCs w:val="26"/>
                  <w:rtl/>
                </w:rPr>
                <w:alias w:val="3153"/>
                <w:tag w:val="3153"/>
                <w:id w:val="-1042055233"/>
                <w:lock w:val="contentLocked"/>
                <w:placeholder>
                  <w:docPart w:val="E94836ADA6264C72A55F651E19C4C7A6"/>
                </w:placeholder>
                <w:text w:multiLine="1"/>
              </w:sdtPr>
              <w:sdtEndPr/>
              <w:sdtContent/>
            </w:sdt>
          </w:p>
          <w:p w:rsidR="00B66717" w:rsidRPr="00B62AD7" w:rsidRDefault="00B66717" w:rsidP="00B66717">
            <w:pPr>
              <w:rPr>
                <w:b/>
                <w:bCs/>
                <w:sz w:val="26"/>
                <w:szCs w:val="26"/>
              </w:rPr>
            </w:pPr>
          </w:p>
        </w:tc>
      </w:tr>
      <w:tr w:rsidR="004C17EE" w:rsidTr="00D620FD">
        <w:trPr>
          <w:jc w:val="center"/>
        </w:trPr>
        <w:tc>
          <w:tcPr>
            <w:tcW w:w="8820" w:type="dxa"/>
            <w:gridSpan w:val="3"/>
          </w:tcPr>
          <w:p w:rsidR="000F74DB" w:rsidRDefault="000F74DB">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870C08" w:rsidRDefault="003D05E6" w:rsidP="00870C08">
      <w:pPr>
        <w:spacing w:before="240" w:line="360" w:lineRule="auto"/>
        <w:rPr>
          <w:rFonts w:ascii="David" w:hAnsi="David"/>
          <w:rtl/>
        </w:rPr>
      </w:pPr>
      <w:bookmarkStart w:id="0" w:name="NGCSBookmark"/>
      <w:bookmarkEnd w:id="0"/>
      <w:r>
        <w:rPr>
          <w:rFonts w:ascii="David" w:hAnsi="David" w:hint="cs"/>
          <w:rtl/>
        </w:rPr>
        <w:t>בפני בית המשפט בקשה לביטול/זיכוי כתב אישום מטעם הגנה לפי הצדק ב</w:t>
      </w:r>
      <w:r w:rsidR="00870C08">
        <w:rPr>
          <w:rFonts w:ascii="David" w:hAnsi="David" w:hint="cs"/>
          <w:rtl/>
        </w:rPr>
        <w:t>התאם</w:t>
      </w:r>
    </w:p>
    <w:p w:rsidR="003D05E6" w:rsidRDefault="003D05E6" w:rsidP="00870C08">
      <w:pPr>
        <w:spacing w:before="240" w:line="360" w:lineRule="auto"/>
        <w:rPr>
          <w:rFonts w:ascii="David" w:hAnsi="David"/>
          <w:rtl/>
        </w:rPr>
      </w:pPr>
      <w:r>
        <w:rPr>
          <w:rFonts w:ascii="David" w:hAnsi="David" w:hint="cs"/>
          <w:rtl/>
        </w:rPr>
        <w:t xml:space="preserve"> לסעיף 149 (10) ל</w:t>
      </w:r>
      <w:r w:rsidRPr="00AE6D17">
        <w:rPr>
          <w:rFonts w:ascii="David" w:hAnsi="David" w:hint="cs"/>
          <w:b/>
          <w:bCs/>
          <w:rtl/>
        </w:rPr>
        <w:t xml:space="preserve">חוק סדר דין הפלילי [נוסח משולב] התשמ"ב </w:t>
      </w:r>
      <w:r w:rsidRPr="00AE6D17">
        <w:rPr>
          <w:rFonts w:ascii="David" w:hAnsi="David"/>
          <w:b/>
          <w:bCs/>
          <w:rtl/>
        </w:rPr>
        <w:t>–</w:t>
      </w:r>
      <w:r w:rsidRPr="00AE6D17">
        <w:rPr>
          <w:rFonts w:ascii="David" w:hAnsi="David" w:hint="cs"/>
          <w:b/>
          <w:bCs/>
          <w:rtl/>
        </w:rPr>
        <w:t xml:space="preserve"> 1982 </w:t>
      </w:r>
      <w:r>
        <w:rPr>
          <w:rFonts w:ascii="David" w:hAnsi="David" w:hint="cs"/>
          <w:rtl/>
        </w:rPr>
        <w:t>לפיו:</w:t>
      </w:r>
    </w:p>
    <w:p w:rsidR="00870C08" w:rsidRDefault="003D05E6" w:rsidP="003D05E6">
      <w:pPr>
        <w:spacing w:before="240" w:line="360" w:lineRule="auto"/>
        <w:ind w:left="1440"/>
        <w:rPr>
          <w:rFonts w:ascii="David" w:hAnsi="David"/>
          <w:b/>
          <w:bCs/>
          <w:rtl/>
        </w:rPr>
      </w:pPr>
      <w:r w:rsidRPr="00817B28">
        <w:rPr>
          <w:rFonts w:ascii="David" w:hAnsi="David"/>
          <w:b/>
          <w:bCs/>
          <w:color w:val="000000"/>
          <w:rtl/>
        </w:rPr>
        <w:t>הגשת כתב האישום או ניהול ההליך הפלילי עומדים בסתירה מהותית לעקרונות של צדק והגינות משפטית</w:t>
      </w:r>
      <w:r w:rsidRPr="00817B28">
        <w:rPr>
          <w:rFonts w:ascii="David" w:hAnsi="David"/>
          <w:b/>
          <w:bCs/>
          <w:color w:val="000000"/>
        </w:rPr>
        <w:t>.</w:t>
      </w:r>
    </w:p>
    <w:p w:rsidR="003D05E6" w:rsidRDefault="003D05E6" w:rsidP="00870C08">
      <w:pPr>
        <w:spacing w:before="240" w:line="360" w:lineRule="auto"/>
        <w:rPr>
          <w:rFonts w:ascii="David" w:hAnsi="David"/>
          <w:b/>
          <w:bCs/>
          <w:rtl/>
        </w:rPr>
      </w:pPr>
      <w:r>
        <w:rPr>
          <w:rFonts w:ascii="David" w:hAnsi="David" w:hint="cs"/>
          <w:b/>
          <w:bCs/>
          <w:rtl/>
        </w:rPr>
        <w:t xml:space="preserve">כתב </w:t>
      </w:r>
      <w:r w:rsidR="00870C08">
        <w:rPr>
          <w:rFonts w:ascii="David" w:hAnsi="David" w:hint="cs"/>
          <w:b/>
          <w:bCs/>
          <w:rtl/>
        </w:rPr>
        <w:t>ה</w:t>
      </w:r>
      <w:r>
        <w:rPr>
          <w:rFonts w:ascii="David" w:hAnsi="David" w:hint="cs"/>
          <w:b/>
          <w:bCs/>
          <w:rtl/>
        </w:rPr>
        <w:t>אישום</w:t>
      </w:r>
    </w:p>
    <w:p w:rsidR="003D05E6" w:rsidRDefault="003D05E6" w:rsidP="003D05E6">
      <w:pPr>
        <w:pStyle w:val="ad"/>
        <w:numPr>
          <w:ilvl w:val="0"/>
          <w:numId w:val="1"/>
        </w:numPr>
        <w:bidi/>
        <w:spacing w:before="240" w:line="360" w:lineRule="auto"/>
        <w:rPr>
          <w:rFonts w:ascii="David" w:hAnsi="David" w:cs="David"/>
          <w:sz w:val="24"/>
          <w:szCs w:val="24"/>
        </w:rPr>
      </w:pPr>
      <w:r>
        <w:rPr>
          <w:rFonts w:ascii="David" w:hAnsi="David" w:cs="David" w:hint="cs"/>
          <w:sz w:val="24"/>
          <w:szCs w:val="24"/>
          <w:rtl/>
        </w:rPr>
        <w:t xml:space="preserve">ביום 18.7.22 הוגש כנגד הנאשם כתב אישום המייחס לנאשם שתי עבירות תקיפה הגורמת חבלה ממש </w:t>
      </w:r>
      <w:r>
        <w:rPr>
          <w:rFonts w:ascii="David" w:hAnsi="David" w:cs="David"/>
          <w:sz w:val="24"/>
          <w:szCs w:val="24"/>
          <w:rtl/>
        </w:rPr>
        <w:t>–</w:t>
      </w:r>
      <w:r>
        <w:rPr>
          <w:rFonts w:ascii="David" w:hAnsi="David" w:cs="David" w:hint="cs"/>
          <w:sz w:val="24"/>
          <w:szCs w:val="24"/>
          <w:rtl/>
        </w:rPr>
        <w:t xml:space="preserve"> עבירות לפי סעיף 380 ל</w:t>
      </w:r>
      <w:r w:rsidRPr="00C96960">
        <w:rPr>
          <w:rFonts w:ascii="David" w:hAnsi="David" w:cs="David" w:hint="cs"/>
          <w:b/>
          <w:bCs/>
          <w:sz w:val="24"/>
          <w:szCs w:val="24"/>
          <w:rtl/>
        </w:rPr>
        <w:t>חוק העונשין</w:t>
      </w:r>
      <w:r>
        <w:rPr>
          <w:rFonts w:ascii="David" w:hAnsi="David" w:cs="David" w:hint="cs"/>
          <w:sz w:val="24"/>
          <w:szCs w:val="24"/>
          <w:rtl/>
        </w:rPr>
        <w:t xml:space="preserve">, </w:t>
      </w:r>
      <w:r w:rsidRPr="00C96960">
        <w:rPr>
          <w:rFonts w:ascii="David" w:hAnsi="David" w:cs="David" w:hint="cs"/>
          <w:b/>
          <w:bCs/>
          <w:sz w:val="24"/>
          <w:szCs w:val="24"/>
          <w:rtl/>
        </w:rPr>
        <w:t xml:space="preserve">התשל"ז </w:t>
      </w:r>
      <w:r w:rsidRPr="00C96960">
        <w:rPr>
          <w:rFonts w:ascii="David" w:hAnsi="David" w:cs="David"/>
          <w:b/>
          <w:bCs/>
          <w:sz w:val="24"/>
          <w:szCs w:val="24"/>
          <w:rtl/>
        </w:rPr>
        <w:t>–</w:t>
      </w:r>
      <w:r w:rsidRPr="00C96960">
        <w:rPr>
          <w:rFonts w:ascii="David" w:hAnsi="David" w:cs="David" w:hint="cs"/>
          <w:b/>
          <w:bCs/>
          <w:sz w:val="24"/>
          <w:szCs w:val="24"/>
          <w:rtl/>
        </w:rPr>
        <w:t xml:space="preserve"> 1977</w:t>
      </w:r>
      <w:r>
        <w:rPr>
          <w:rFonts w:ascii="David" w:hAnsi="David" w:cs="David" w:hint="cs"/>
          <w:sz w:val="24"/>
          <w:szCs w:val="24"/>
          <w:rtl/>
        </w:rPr>
        <w:t xml:space="preserve"> (להלן: </w:t>
      </w:r>
      <w:r w:rsidRPr="00C96960">
        <w:rPr>
          <w:rFonts w:ascii="David" w:hAnsi="David" w:cs="David" w:hint="cs"/>
          <w:b/>
          <w:bCs/>
          <w:sz w:val="24"/>
          <w:szCs w:val="24"/>
          <w:rtl/>
        </w:rPr>
        <w:t>חוק העונשין</w:t>
      </w:r>
      <w:r>
        <w:rPr>
          <w:rFonts w:ascii="David" w:hAnsi="David" w:cs="David" w:hint="cs"/>
          <w:sz w:val="24"/>
          <w:szCs w:val="24"/>
          <w:rtl/>
        </w:rPr>
        <w:t xml:space="preserve">).  </w:t>
      </w:r>
    </w:p>
    <w:p w:rsidR="003D05E6" w:rsidRDefault="003D05E6" w:rsidP="003D05E6">
      <w:pPr>
        <w:pStyle w:val="ad"/>
        <w:bidi/>
        <w:spacing w:before="240" w:line="360" w:lineRule="auto"/>
        <w:rPr>
          <w:rFonts w:ascii="David" w:hAnsi="David" w:cs="David"/>
          <w:sz w:val="24"/>
          <w:szCs w:val="24"/>
        </w:rPr>
      </w:pPr>
    </w:p>
    <w:p w:rsidR="003D05E6" w:rsidRPr="00237EED" w:rsidRDefault="003D05E6" w:rsidP="00C03320">
      <w:pPr>
        <w:pStyle w:val="ad"/>
        <w:numPr>
          <w:ilvl w:val="0"/>
          <w:numId w:val="1"/>
        </w:numPr>
        <w:bidi/>
        <w:spacing w:before="240" w:line="360" w:lineRule="auto"/>
        <w:rPr>
          <w:rFonts w:ascii="David" w:hAnsi="David" w:cs="David"/>
          <w:sz w:val="24"/>
          <w:szCs w:val="24"/>
          <w:rtl/>
        </w:rPr>
      </w:pPr>
      <w:r w:rsidRPr="00237EED">
        <w:rPr>
          <w:rFonts w:ascii="David" w:hAnsi="David" w:cs="David" w:hint="cs"/>
          <w:sz w:val="24"/>
          <w:szCs w:val="24"/>
          <w:rtl/>
        </w:rPr>
        <w:t>מושא כתב האישום הינו אירוע מיום 10.12.2020 בשעה 15:00.  עולה מכתב האישום שהתפתח סכסוך בכביש בין הנאשם ושני המתלוננים. נטען שנאשם עצר רכבו וחסם המשך דרכם של המתלוננים. התפתח</w:t>
      </w:r>
      <w:r w:rsidR="00884DC4">
        <w:rPr>
          <w:rFonts w:ascii="David" w:hAnsi="David" w:cs="David" w:hint="cs"/>
          <w:sz w:val="24"/>
          <w:szCs w:val="24"/>
          <w:rtl/>
        </w:rPr>
        <w:t>ה</w:t>
      </w:r>
      <w:r w:rsidRPr="00237EED">
        <w:rPr>
          <w:rFonts w:ascii="David" w:hAnsi="David" w:cs="David" w:hint="cs"/>
          <w:sz w:val="24"/>
          <w:szCs w:val="24"/>
          <w:rtl/>
        </w:rPr>
        <w:t xml:space="preserve"> מריבה והנאשם היכה את שני המתלוננים עם שרשר</w:t>
      </w:r>
      <w:r w:rsidR="00870C08">
        <w:rPr>
          <w:rFonts w:ascii="David" w:hAnsi="David" w:cs="David" w:hint="cs"/>
          <w:sz w:val="24"/>
          <w:szCs w:val="24"/>
          <w:rtl/>
        </w:rPr>
        <w:t>א</w:t>
      </w:r>
      <w:r w:rsidRPr="00237EED">
        <w:rPr>
          <w:rFonts w:ascii="David" w:hAnsi="David" w:cs="David" w:hint="cs"/>
          <w:sz w:val="24"/>
          <w:szCs w:val="24"/>
          <w:rtl/>
        </w:rPr>
        <w:t xml:space="preserve">ות ברזל (להלן: </w:t>
      </w:r>
      <w:r w:rsidRPr="00237EED">
        <w:rPr>
          <w:rFonts w:ascii="David" w:hAnsi="David" w:cs="David" w:hint="cs"/>
          <w:b/>
          <w:bCs/>
          <w:sz w:val="24"/>
          <w:szCs w:val="24"/>
          <w:rtl/>
        </w:rPr>
        <w:t>נונצ'אקו כלי ידוע בא</w:t>
      </w:r>
      <w:r w:rsidR="00C03320">
        <w:rPr>
          <w:rFonts w:ascii="David" w:hAnsi="David" w:cs="David" w:hint="cs"/>
          <w:b/>
          <w:bCs/>
          <w:sz w:val="24"/>
          <w:szCs w:val="24"/>
          <w:rtl/>
        </w:rPr>
        <w:t>ו</w:t>
      </w:r>
      <w:r w:rsidRPr="00237EED">
        <w:rPr>
          <w:rFonts w:ascii="David" w:hAnsi="David" w:cs="David" w:hint="cs"/>
          <w:b/>
          <w:bCs/>
          <w:sz w:val="24"/>
          <w:szCs w:val="24"/>
          <w:rtl/>
        </w:rPr>
        <w:t>מנות לחימה סיני</w:t>
      </w:r>
      <w:r w:rsidR="00870C08">
        <w:rPr>
          <w:rFonts w:ascii="David" w:hAnsi="David" w:cs="David" w:hint="cs"/>
          <w:b/>
          <w:bCs/>
          <w:sz w:val="24"/>
          <w:szCs w:val="24"/>
          <w:rtl/>
        </w:rPr>
        <w:t>ת</w:t>
      </w:r>
      <w:r w:rsidRPr="00237EED">
        <w:rPr>
          <w:rFonts w:ascii="David" w:hAnsi="David" w:cs="David" w:hint="cs"/>
          <w:b/>
          <w:bCs/>
          <w:sz w:val="24"/>
          <w:szCs w:val="24"/>
          <w:rtl/>
        </w:rPr>
        <w:t>)</w:t>
      </w:r>
      <w:r w:rsidRPr="00237EED">
        <w:rPr>
          <w:rFonts w:ascii="David" w:hAnsi="David" w:cs="David" w:hint="cs"/>
          <w:sz w:val="24"/>
          <w:szCs w:val="24"/>
          <w:rtl/>
        </w:rPr>
        <w:t>.</w:t>
      </w:r>
    </w:p>
    <w:p w:rsidR="003D05E6" w:rsidRDefault="003D05E6" w:rsidP="003D05E6">
      <w:pPr>
        <w:pStyle w:val="ad"/>
        <w:bidi/>
        <w:spacing w:before="240" w:line="360" w:lineRule="auto"/>
        <w:rPr>
          <w:rFonts w:ascii="David" w:hAnsi="David" w:cs="David"/>
          <w:sz w:val="24"/>
          <w:szCs w:val="24"/>
        </w:rPr>
      </w:pPr>
    </w:p>
    <w:p w:rsidR="003D05E6" w:rsidRDefault="003D05E6" w:rsidP="003D05E6">
      <w:pPr>
        <w:pStyle w:val="ad"/>
        <w:numPr>
          <w:ilvl w:val="0"/>
          <w:numId w:val="1"/>
        </w:numPr>
        <w:bidi/>
        <w:spacing w:before="240" w:line="360" w:lineRule="auto"/>
        <w:rPr>
          <w:rFonts w:ascii="David" w:hAnsi="David" w:cs="David"/>
          <w:sz w:val="24"/>
          <w:szCs w:val="24"/>
        </w:rPr>
      </w:pPr>
      <w:r>
        <w:rPr>
          <w:rFonts w:ascii="David" w:hAnsi="David" w:cs="David" w:hint="cs"/>
          <w:sz w:val="24"/>
          <w:szCs w:val="24"/>
          <w:rtl/>
        </w:rPr>
        <w:t xml:space="preserve">בהמשך האירוע הגיע שוטר גיא בודרנו (עד תביעה 6: גיא בודנרו) (להלן: השוטר).  לאחר שהשוטר הגיע לזירה הוא לקח מידיו </w:t>
      </w:r>
      <w:r w:rsidR="00870C08">
        <w:rPr>
          <w:rFonts w:ascii="David" w:hAnsi="David" w:cs="David" w:hint="cs"/>
          <w:sz w:val="24"/>
          <w:szCs w:val="24"/>
          <w:rtl/>
        </w:rPr>
        <w:t xml:space="preserve">של </w:t>
      </w:r>
      <w:r>
        <w:rPr>
          <w:rFonts w:ascii="David" w:hAnsi="David" w:cs="David" w:hint="cs"/>
          <w:sz w:val="24"/>
          <w:szCs w:val="24"/>
          <w:rtl/>
        </w:rPr>
        <w:t xml:space="preserve">הנאשם את </w:t>
      </w:r>
      <w:r w:rsidRPr="00AE6D17">
        <w:rPr>
          <w:rFonts w:ascii="David" w:hAnsi="David" w:cs="David" w:hint="cs"/>
          <w:b/>
          <w:bCs/>
          <w:sz w:val="24"/>
          <w:szCs w:val="24"/>
          <w:rtl/>
        </w:rPr>
        <w:t>הנונצ'אקו</w:t>
      </w:r>
      <w:r>
        <w:rPr>
          <w:rFonts w:ascii="David" w:hAnsi="David" w:cs="David" w:hint="cs"/>
          <w:sz w:val="24"/>
          <w:szCs w:val="24"/>
          <w:rtl/>
        </w:rPr>
        <w:t xml:space="preserve">, אולם הנאשם סטר לראשו של אחת המתלוננים וגרם לשריטות בראשו. </w:t>
      </w:r>
    </w:p>
    <w:p w:rsidR="003D05E6" w:rsidRDefault="003D05E6" w:rsidP="003D05E6">
      <w:pPr>
        <w:pStyle w:val="ad"/>
        <w:bidi/>
        <w:spacing w:before="240" w:line="360" w:lineRule="auto"/>
        <w:rPr>
          <w:rFonts w:ascii="David" w:hAnsi="David" w:cs="David"/>
          <w:sz w:val="24"/>
          <w:szCs w:val="24"/>
        </w:rPr>
      </w:pPr>
    </w:p>
    <w:p w:rsidR="003D05E6" w:rsidRPr="00DF7B6F" w:rsidRDefault="003D05E6" w:rsidP="003D05E6">
      <w:pPr>
        <w:pStyle w:val="ad"/>
        <w:numPr>
          <w:ilvl w:val="0"/>
          <w:numId w:val="1"/>
        </w:numPr>
        <w:bidi/>
        <w:spacing w:before="240" w:line="360" w:lineRule="auto"/>
        <w:rPr>
          <w:rFonts w:ascii="David" w:hAnsi="David" w:cs="David"/>
          <w:sz w:val="24"/>
          <w:szCs w:val="24"/>
          <w:rtl/>
        </w:rPr>
      </w:pPr>
      <w:r w:rsidRPr="00DF7B6F">
        <w:rPr>
          <w:rFonts w:ascii="David" w:hAnsi="David" w:cs="David" w:hint="cs"/>
          <w:sz w:val="24"/>
          <w:szCs w:val="24"/>
          <w:rtl/>
        </w:rPr>
        <w:t xml:space="preserve">זירת האירוע בצומת </w:t>
      </w:r>
      <w:r w:rsidR="00870C08">
        <w:rPr>
          <w:rFonts w:ascii="David" w:hAnsi="David" w:cs="David" w:hint="cs"/>
          <w:sz w:val="24"/>
          <w:szCs w:val="24"/>
          <w:rtl/>
        </w:rPr>
        <w:t>ה</w:t>
      </w:r>
      <w:r w:rsidRPr="00DF7B6F">
        <w:rPr>
          <w:rFonts w:ascii="David" w:hAnsi="David" w:cs="David" w:hint="cs"/>
          <w:sz w:val="24"/>
          <w:szCs w:val="24"/>
          <w:rtl/>
        </w:rPr>
        <w:t xml:space="preserve">גבעה </w:t>
      </w:r>
      <w:r w:rsidR="00870C08">
        <w:rPr>
          <w:rFonts w:ascii="David" w:hAnsi="David" w:cs="David" w:hint="cs"/>
          <w:sz w:val="24"/>
          <w:szCs w:val="24"/>
          <w:rtl/>
        </w:rPr>
        <w:t>ה</w:t>
      </w:r>
      <w:r w:rsidRPr="00DF7B6F">
        <w:rPr>
          <w:rFonts w:ascii="David" w:hAnsi="David" w:cs="David" w:hint="cs"/>
          <w:sz w:val="24"/>
          <w:szCs w:val="24"/>
          <w:rtl/>
        </w:rPr>
        <w:t>צרפתית בירושלים.</w:t>
      </w:r>
    </w:p>
    <w:p w:rsidR="003D05E6" w:rsidRDefault="003D05E6" w:rsidP="00423955">
      <w:pPr>
        <w:spacing w:before="240" w:line="360" w:lineRule="auto"/>
        <w:rPr>
          <w:rFonts w:ascii="David" w:hAnsi="David"/>
          <w:b/>
          <w:bCs/>
          <w:rtl/>
        </w:rPr>
      </w:pPr>
      <w:r w:rsidRPr="00817B28">
        <w:rPr>
          <w:rFonts w:ascii="David" w:hAnsi="David" w:hint="cs"/>
          <w:b/>
          <w:bCs/>
          <w:rtl/>
        </w:rPr>
        <w:t>עובדות מוסכמות לצ</w:t>
      </w:r>
      <w:r w:rsidR="00423955">
        <w:rPr>
          <w:rFonts w:ascii="David" w:hAnsi="David" w:hint="cs"/>
          <w:b/>
          <w:bCs/>
          <w:rtl/>
        </w:rPr>
        <w:t>ור</w:t>
      </w:r>
      <w:r w:rsidRPr="00817B28">
        <w:rPr>
          <w:rFonts w:ascii="David" w:hAnsi="David" w:hint="cs"/>
          <w:b/>
          <w:bCs/>
          <w:rtl/>
        </w:rPr>
        <w:t>ך מתן החלטה</w:t>
      </w:r>
    </w:p>
    <w:p w:rsidR="003D05E6" w:rsidRDefault="003D05E6" w:rsidP="00C03320">
      <w:pPr>
        <w:pStyle w:val="ad"/>
        <w:numPr>
          <w:ilvl w:val="0"/>
          <w:numId w:val="1"/>
        </w:numPr>
        <w:bidi/>
        <w:spacing w:before="240" w:line="360" w:lineRule="auto"/>
        <w:rPr>
          <w:rFonts w:ascii="David" w:hAnsi="David" w:cs="David"/>
          <w:sz w:val="24"/>
          <w:szCs w:val="24"/>
        </w:rPr>
      </w:pPr>
      <w:r>
        <w:rPr>
          <w:rFonts w:ascii="David" w:hAnsi="David" w:cs="David" w:hint="cs"/>
          <w:sz w:val="24"/>
          <w:szCs w:val="24"/>
          <w:rtl/>
        </w:rPr>
        <w:t xml:space="preserve">ביום 3.1.21 ( שלושה שבועות לאחר האירוע) ב"כ הנאשם פנה ל"משרד חקירות", תחנת לב הבירה </w:t>
      </w:r>
      <w:r>
        <w:rPr>
          <w:rFonts w:ascii="David" w:hAnsi="David" w:cs="David"/>
          <w:sz w:val="24"/>
          <w:szCs w:val="24"/>
          <w:rtl/>
        </w:rPr>
        <w:t>–</w:t>
      </w:r>
      <w:r>
        <w:rPr>
          <w:rFonts w:ascii="David" w:hAnsi="David" w:cs="David" w:hint="cs"/>
          <w:sz w:val="24"/>
          <w:szCs w:val="24"/>
          <w:rtl/>
        </w:rPr>
        <w:t xml:space="preserve"> מחוז ירושלים,  בבקשה בכתב לפיה מתבקשת רשות החוקרת לתפוס תיעוד האירוע מושא כתב האישום, ממצלמות אבטחה הקיימות בזירת האירוע ו</w:t>
      </w:r>
      <w:r w:rsidR="00870C08">
        <w:rPr>
          <w:rFonts w:ascii="David" w:hAnsi="David" w:cs="David" w:hint="cs"/>
          <w:sz w:val="24"/>
          <w:szCs w:val="24"/>
          <w:rtl/>
        </w:rPr>
        <w:t>מ</w:t>
      </w:r>
      <w:r>
        <w:rPr>
          <w:rFonts w:ascii="David" w:hAnsi="David" w:cs="David" w:hint="cs"/>
          <w:sz w:val="24"/>
          <w:szCs w:val="24"/>
          <w:rtl/>
        </w:rPr>
        <w:t xml:space="preserve">מצלמת </w:t>
      </w:r>
      <w:r w:rsidR="00870C08">
        <w:rPr>
          <w:rFonts w:ascii="David" w:hAnsi="David" w:cs="David" w:hint="cs"/>
          <w:sz w:val="24"/>
          <w:szCs w:val="24"/>
          <w:rtl/>
        </w:rPr>
        <w:t>ה</w:t>
      </w:r>
      <w:r>
        <w:rPr>
          <w:rFonts w:ascii="David" w:hAnsi="David" w:cs="David" w:hint="cs"/>
          <w:sz w:val="24"/>
          <w:szCs w:val="24"/>
          <w:rtl/>
        </w:rPr>
        <w:t>גוף של השוטר.</w:t>
      </w:r>
    </w:p>
    <w:p w:rsidR="003D05E6" w:rsidRDefault="003D05E6" w:rsidP="003D05E6">
      <w:pPr>
        <w:pStyle w:val="ad"/>
        <w:bidi/>
        <w:spacing w:before="240" w:line="360" w:lineRule="auto"/>
        <w:rPr>
          <w:rFonts w:ascii="David" w:hAnsi="David" w:cs="David"/>
          <w:sz w:val="24"/>
          <w:szCs w:val="24"/>
        </w:rPr>
      </w:pPr>
    </w:p>
    <w:p w:rsidR="003D05E6" w:rsidRDefault="003D05E6" w:rsidP="00C03320">
      <w:pPr>
        <w:pStyle w:val="ad"/>
        <w:bidi/>
        <w:spacing w:before="240" w:line="360" w:lineRule="auto"/>
        <w:rPr>
          <w:rFonts w:ascii="David" w:hAnsi="David" w:cs="David"/>
          <w:sz w:val="24"/>
          <w:szCs w:val="24"/>
          <w:rtl/>
        </w:rPr>
      </w:pPr>
      <w:r>
        <w:rPr>
          <w:rFonts w:ascii="David" w:hAnsi="David" w:cs="David" w:hint="cs"/>
          <w:sz w:val="24"/>
          <w:szCs w:val="24"/>
          <w:rtl/>
        </w:rPr>
        <w:t xml:space="preserve">ביום 17.1.21 הגיבה </w:t>
      </w:r>
      <w:r w:rsidR="00870C08">
        <w:rPr>
          <w:rFonts w:ascii="David" w:hAnsi="David" w:cs="David" w:hint="cs"/>
          <w:sz w:val="24"/>
          <w:szCs w:val="24"/>
          <w:rtl/>
        </w:rPr>
        <w:t>ה</w:t>
      </w:r>
      <w:r>
        <w:rPr>
          <w:rFonts w:ascii="David" w:hAnsi="David" w:cs="David" w:hint="cs"/>
          <w:sz w:val="24"/>
          <w:szCs w:val="24"/>
          <w:rtl/>
        </w:rPr>
        <w:t>רשות החוקרת בתיאור נסיבות עיכובו של הנאשם</w:t>
      </w:r>
      <w:r w:rsidR="003B0B8A">
        <w:rPr>
          <w:rFonts w:ascii="David" w:hAnsi="David" w:cs="David" w:hint="cs"/>
          <w:sz w:val="24"/>
          <w:szCs w:val="24"/>
          <w:rtl/>
        </w:rPr>
        <w:t>,</w:t>
      </w:r>
      <w:r>
        <w:rPr>
          <w:rFonts w:ascii="David" w:hAnsi="David" w:cs="David" w:hint="cs"/>
          <w:sz w:val="24"/>
          <w:szCs w:val="24"/>
          <w:rtl/>
        </w:rPr>
        <w:t xml:space="preserve"> ובפרט שלא נפתח תיק עקב תלונתו כנגד המתלוננים בכתב האישום כסיבה, אי לכך לא פעלו לאיסוף חומר ווידאו ממצלמות אבטחה בזירת האירוע ולא </w:t>
      </w:r>
      <w:r w:rsidR="00870C08">
        <w:rPr>
          <w:rFonts w:ascii="David" w:hAnsi="David" w:cs="David" w:hint="cs"/>
          <w:sz w:val="24"/>
          <w:szCs w:val="24"/>
          <w:rtl/>
        </w:rPr>
        <w:t>מ</w:t>
      </w:r>
      <w:r>
        <w:rPr>
          <w:rFonts w:ascii="David" w:hAnsi="David" w:cs="David" w:hint="cs"/>
          <w:sz w:val="24"/>
          <w:szCs w:val="24"/>
          <w:rtl/>
        </w:rPr>
        <w:t>מצלמת גוף של השוטר.</w:t>
      </w:r>
    </w:p>
    <w:p w:rsidR="003D05E6" w:rsidRDefault="003D05E6" w:rsidP="003D05E6">
      <w:pPr>
        <w:pStyle w:val="ad"/>
        <w:bidi/>
        <w:spacing w:before="240" w:line="360" w:lineRule="auto"/>
        <w:rPr>
          <w:rFonts w:ascii="David" w:hAnsi="David" w:cs="David"/>
          <w:sz w:val="24"/>
          <w:szCs w:val="24"/>
          <w:rtl/>
        </w:rPr>
      </w:pPr>
    </w:p>
    <w:p w:rsidR="003D05E6" w:rsidRDefault="003D05E6" w:rsidP="003D05E6">
      <w:pPr>
        <w:pStyle w:val="ad"/>
        <w:numPr>
          <w:ilvl w:val="0"/>
          <w:numId w:val="1"/>
        </w:numPr>
        <w:bidi/>
        <w:spacing w:before="240" w:line="360" w:lineRule="auto"/>
        <w:rPr>
          <w:rFonts w:ascii="David" w:hAnsi="David" w:cs="David"/>
          <w:sz w:val="24"/>
          <w:szCs w:val="24"/>
        </w:rPr>
      </w:pPr>
      <w:r>
        <w:rPr>
          <w:rFonts w:ascii="David" w:hAnsi="David" w:cs="David" w:hint="cs"/>
          <w:sz w:val="24"/>
          <w:szCs w:val="24"/>
          <w:rtl/>
        </w:rPr>
        <w:t>ביום 18.1.21 פנה ב"כ הנאשם למח"ש בבקשה להמצאת כל חומר ממצלמות אבטחה בזירת האירוע ו</w:t>
      </w:r>
      <w:r w:rsidR="00870C08">
        <w:rPr>
          <w:rFonts w:ascii="David" w:hAnsi="David" w:cs="David" w:hint="cs"/>
          <w:sz w:val="24"/>
          <w:szCs w:val="24"/>
          <w:rtl/>
        </w:rPr>
        <w:t>מ</w:t>
      </w:r>
      <w:r>
        <w:rPr>
          <w:rFonts w:ascii="David" w:hAnsi="David" w:cs="David" w:hint="cs"/>
          <w:sz w:val="24"/>
          <w:szCs w:val="24"/>
          <w:rtl/>
        </w:rPr>
        <w:t xml:space="preserve">מצלמות </w:t>
      </w:r>
      <w:r w:rsidR="00870C08">
        <w:rPr>
          <w:rFonts w:ascii="David" w:hAnsi="David" w:cs="David" w:hint="cs"/>
          <w:sz w:val="24"/>
          <w:szCs w:val="24"/>
          <w:rtl/>
        </w:rPr>
        <w:t>ה</w:t>
      </w:r>
      <w:r>
        <w:rPr>
          <w:rFonts w:ascii="David" w:hAnsi="David" w:cs="David" w:hint="cs"/>
          <w:sz w:val="24"/>
          <w:szCs w:val="24"/>
          <w:rtl/>
        </w:rPr>
        <w:t xml:space="preserve">גוף של השוטרים המעורבים באירוע. </w:t>
      </w:r>
    </w:p>
    <w:p w:rsidR="003D05E6" w:rsidRDefault="003D05E6" w:rsidP="003D05E6">
      <w:pPr>
        <w:pStyle w:val="ad"/>
        <w:bidi/>
        <w:spacing w:before="240" w:line="360" w:lineRule="auto"/>
        <w:rPr>
          <w:rFonts w:ascii="David" w:hAnsi="David" w:cs="David"/>
          <w:sz w:val="24"/>
          <w:szCs w:val="24"/>
        </w:rPr>
      </w:pPr>
    </w:p>
    <w:p w:rsidR="003D05E6" w:rsidRDefault="003D05E6" w:rsidP="003D05E6">
      <w:pPr>
        <w:pStyle w:val="ad"/>
        <w:numPr>
          <w:ilvl w:val="0"/>
          <w:numId w:val="1"/>
        </w:numPr>
        <w:bidi/>
        <w:spacing w:before="240" w:line="360" w:lineRule="auto"/>
        <w:rPr>
          <w:rFonts w:ascii="David" w:hAnsi="David" w:cs="David"/>
          <w:sz w:val="24"/>
          <w:szCs w:val="24"/>
        </w:rPr>
      </w:pPr>
      <w:r>
        <w:rPr>
          <w:rFonts w:ascii="David" w:hAnsi="David" w:cs="David" w:hint="cs"/>
          <w:sz w:val="24"/>
          <w:szCs w:val="24"/>
          <w:rtl/>
        </w:rPr>
        <w:t>במענה לפניית ב"כ הנאשם למח"ש מיום 18.1.21, התקבלה תגובה לפיה כל עוד התיק בשלב חקירה</w:t>
      </w:r>
      <w:r w:rsidR="00870C08">
        <w:rPr>
          <w:rFonts w:ascii="David" w:hAnsi="David" w:cs="David" w:hint="cs"/>
          <w:sz w:val="24"/>
          <w:szCs w:val="24"/>
          <w:rtl/>
        </w:rPr>
        <w:t>,</w:t>
      </w:r>
      <w:r>
        <w:rPr>
          <w:rFonts w:ascii="David" w:hAnsi="David" w:cs="David" w:hint="cs"/>
          <w:sz w:val="24"/>
          <w:szCs w:val="24"/>
          <w:rtl/>
        </w:rPr>
        <w:t xml:space="preserve"> לא ניתן לחשוף חומר חקירה. </w:t>
      </w:r>
    </w:p>
    <w:p w:rsidR="003D05E6" w:rsidRPr="008F4747" w:rsidRDefault="003D05E6" w:rsidP="003D05E6">
      <w:pPr>
        <w:pStyle w:val="ad"/>
        <w:spacing w:line="360" w:lineRule="auto"/>
        <w:rPr>
          <w:rFonts w:ascii="David" w:hAnsi="David" w:cs="David"/>
          <w:sz w:val="24"/>
          <w:szCs w:val="24"/>
          <w:rtl/>
        </w:rPr>
      </w:pPr>
    </w:p>
    <w:p w:rsidR="003D05E6" w:rsidRPr="00255DA7" w:rsidRDefault="003D05E6" w:rsidP="003D05E6">
      <w:pPr>
        <w:pStyle w:val="ad"/>
        <w:numPr>
          <w:ilvl w:val="0"/>
          <w:numId w:val="1"/>
        </w:numPr>
        <w:bidi/>
        <w:spacing w:before="240" w:line="360" w:lineRule="auto"/>
        <w:rPr>
          <w:rFonts w:ascii="David" w:hAnsi="David" w:cs="David"/>
          <w:sz w:val="24"/>
          <w:szCs w:val="24"/>
          <w:rtl/>
        </w:rPr>
      </w:pPr>
      <w:r w:rsidRPr="00255DA7">
        <w:rPr>
          <w:rFonts w:ascii="David" w:hAnsi="David" w:cs="David" w:hint="cs"/>
          <w:sz w:val="24"/>
          <w:szCs w:val="24"/>
          <w:rtl/>
        </w:rPr>
        <w:t>ביום 28.3.2022 נערך מזכר על ידי חוקרת מיטל גלבוע לפיו, נוכח חלוף הזמן</w:t>
      </w:r>
      <w:r>
        <w:rPr>
          <w:rFonts w:ascii="David" w:hAnsi="David" w:cs="David" w:hint="cs"/>
          <w:sz w:val="24"/>
          <w:szCs w:val="24"/>
          <w:rtl/>
        </w:rPr>
        <w:t>,</w:t>
      </w:r>
      <w:r w:rsidRPr="00255DA7">
        <w:rPr>
          <w:rFonts w:ascii="David" w:hAnsi="David" w:cs="David" w:hint="cs"/>
          <w:sz w:val="24"/>
          <w:szCs w:val="24"/>
          <w:rtl/>
        </w:rPr>
        <w:t xml:space="preserve"> לא ניתן לשלוף תיעוד מצולם מהמצלמות </w:t>
      </w:r>
      <w:r w:rsidR="00870C08">
        <w:rPr>
          <w:rFonts w:ascii="David" w:hAnsi="David" w:cs="David" w:hint="cs"/>
          <w:sz w:val="24"/>
          <w:szCs w:val="24"/>
          <w:rtl/>
        </w:rPr>
        <w:t>ש</w:t>
      </w:r>
      <w:r w:rsidRPr="00255DA7">
        <w:rPr>
          <w:rFonts w:ascii="David" w:hAnsi="David" w:cs="David" w:hint="cs"/>
          <w:sz w:val="24"/>
          <w:szCs w:val="24"/>
          <w:rtl/>
        </w:rPr>
        <w:t xml:space="preserve">בזירת האירוע. </w:t>
      </w:r>
    </w:p>
    <w:p w:rsidR="003D05E6" w:rsidRDefault="003D05E6" w:rsidP="003D05E6">
      <w:pPr>
        <w:spacing w:before="240" w:line="360" w:lineRule="auto"/>
        <w:rPr>
          <w:rFonts w:ascii="David" w:hAnsi="David"/>
          <w:b/>
          <w:bCs/>
          <w:rtl/>
        </w:rPr>
      </w:pPr>
      <w:r>
        <w:rPr>
          <w:rFonts w:ascii="David" w:hAnsi="David" w:hint="cs"/>
          <w:b/>
          <w:bCs/>
          <w:rtl/>
        </w:rPr>
        <w:t xml:space="preserve">ההתכתבות כאמור לעיל צורפה לבקשה ומאחר ואין מחלוקת ביחס למסמכים הם מתקבלים כראיה בתמיכת הבקשה. </w:t>
      </w:r>
    </w:p>
    <w:p w:rsidR="003D05E6" w:rsidRDefault="003D05E6" w:rsidP="003D05E6">
      <w:pPr>
        <w:pStyle w:val="ad"/>
        <w:numPr>
          <w:ilvl w:val="0"/>
          <w:numId w:val="1"/>
        </w:numPr>
        <w:bidi/>
        <w:spacing w:before="240" w:line="360" w:lineRule="auto"/>
        <w:rPr>
          <w:rFonts w:ascii="David" w:hAnsi="David" w:cs="David"/>
          <w:sz w:val="24"/>
          <w:szCs w:val="24"/>
        </w:rPr>
      </w:pPr>
      <w:r>
        <w:rPr>
          <w:rFonts w:ascii="David" w:hAnsi="David" w:cs="David" w:hint="cs"/>
          <w:sz w:val="24"/>
          <w:szCs w:val="24"/>
          <w:rtl/>
        </w:rPr>
        <w:t xml:space="preserve">אין מחלוקת בין הצדדים שלא נעשה דבר בעקבות פנייתו של ב"כ הנאשם לאיסוף חומר מצולם ממצלמות המוצבות בזירה או של מצלמות גוף של השוטר. </w:t>
      </w:r>
    </w:p>
    <w:p w:rsidR="003B0B8A" w:rsidRDefault="003B0B8A" w:rsidP="003B0B8A">
      <w:pPr>
        <w:pStyle w:val="ad"/>
        <w:bidi/>
        <w:spacing w:before="240" w:line="360" w:lineRule="auto"/>
        <w:rPr>
          <w:rFonts w:ascii="David" w:hAnsi="David" w:cs="David"/>
          <w:sz w:val="24"/>
          <w:szCs w:val="24"/>
        </w:rPr>
      </w:pPr>
    </w:p>
    <w:p w:rsidR="003D05E6" w:rsidRDefault="003D05E6" w:rsidP="00C03320">
      <w:pPr>
        <w:pStyle w:val="ad"/>
        <w:numPr>
          <w:ilvl w:val="0"/>
          <w:numId w:val="4"/>
        </w:numPr>
        <w:bidi/>
        <w:spacing w:before="240" w:line="360" w:lineRule="auto"/>
        <w:rPr>
          <w:rFonts w:ascii="David" w:hAnsi="David" w:cs="David"/>
          <w:sz w:val="24"/>
          <w:szCs w:val="24"/>
        </w:rPr>
      </w:pPr>
      <w:r w:rsidRPr="00E84F6D">
        <w:rPr>
          <w:rFonts w:ascii="David" w:hAnsi="David" w:cs="David" w:hint="cs"/>
          <w:sz w:val="24"/>
          <w:szCs w:val="24"/>
          <w:rtl/>
        </w:rPr>
        <w:t>בהתאם להחלטה מיום 26.3.24</w:t>
      </w:r>
      <w:r>
        <w:rPr>
          <w:rFonts w:ascii="David" w:hAnsi="David" w:cs="David" w:hint="cs"/>
          <w:sz w:val="24"/>
          <w:szCs w:val="24"/>
          <w:rtl/>
        </w:rPr>
        <w:t xml:space="preserve">, ביום 8.4.24 </w:t>
      </w:r>
      <w:r w:rsidRPr="00E84F6D">
        <w:rPr>
          <w:rFonts w:ascii="David" w:hAnsi="David" w:cs="David" w:hint="cs"/>
          <w:sz w:val="24"/>
          <w:szCs w:val="24"/>
          <w:rtl/>
        </w:rPr>
        <w:t>הגישה המאשימה תגובה מפורטת. מתגובתה עולה</w:t>
      </w:r>
      <w:r>
        <w:rPr>
          <w:rFonts w:ascii="David" w:hAnsi="David" w:cs="David" w:hint="cs"/>
          <w:sz w:val="24"/>
          <w:szCs w:val="24"/>
          <w:rtl/>
        </w:rPr>
        <w:t xml:space="preserve"> </w:t>
      </w:r>
      <w:r w:rsidR="00CB30D1">
        <w:rPr>
          <w:rFonts w:ascii="David" w:hAnsi="David" w:cs="David" w:hint="cs"/>
          <w:sz w:val="24"/>
          <w:szCs w:val="24"/>
          <w:rtl/>
        </w:rPr>
        <w:t xml:space="preserve">כי </w:t>
      </w:r>
      <w:r>
        <w:rPr>
          <w:rFonts w:ascii="David" w:hAnsi="David" w:cs="David" w:hint="cs"/>
          <w:sz w:val="24"/>
          <w:szCs w:val="24"/>
          <w:rtl/>
        </w:rPr>
        <w:t>ק</w:t>
      </w:r>
      <w:r w:rsidRPr="00E84F6D">
        <w:rPr>
          <w:rFonts w:ascii="David" w:hAnsi="David" w:cs="David" w:hint="cs"/>
          <w:sz w:val="24"/>
          <w:szCs w:val="24"/>
          <w:rtl/>
        </w:rPr>
        <w:t xml:space="preserve">יימות מצלמות בתחנת המשטרה הסמוכה אולם כל תיעוד </w:t>
      </w:r>
      <w:r w:rsidR="00C03320">
        <w:rPr>
          <w:rFonts w:ascii="David" w:hAnsi="David" w:cs="David" w:hint="cs"/>
          <w:sz w:val="24"/>
          <w:szCs w:val="24"/>
          <w:rtl/>
        </w:rPr>
        <w:t>ה</w:t>
      </w:r>
      <w:r w:rsidRPr="00E84F6D">
        <w:rPr>
          <w:rFonts w:ascii="David" w:hAnsi="David" w:cs="David" w:hint="cs"/>
          <w:sz w:val="24"/>
          <w:szCs w:val="24"/>
          <w:rtl/>
        </w:rPr>
        <w:t xml:space="preserve">ווידיאו נמחק לאחר שבועיים. </w:t>
      </w:r>
      <w:r>
        <w:rPr>
          <w:rFonts w:ascii="David" w:hAnsi="David" w:cs="David" w:hint="cs"/>
          <w:sz w:val="24"/>
          <w:szCs w:val="24"/>
          <w:rtl/>
        </w:rPr>
        <w:t xml:space="preserve"> </w:t>
      </w:r>
    </w:p>
    <w:p w:rsidR="003D05E6" w:rsidRPr="00E84F6D" w:rsidRDefault="003D05E6" w:rsidP="003D05E6">
      <w:pPr>
        <w:pStyle w:val="ad"/>
        <w:bidi/>
        <w:spacing w:before="240" w:line="360" w:lineRule="auto"/>
        <w:ind w:left="1800"/>
        <w:rPr>
          <w:rFonts w:ascii="David" w:hAnsi="David" w:cs="David"/>
          <w:sz w:val="24"/>
          <w:szCs w:val="24"/>
        </w:rPr>
      </w:pPr>
    </w:p>
    <w:p w:rsidR="003D05E6" w:rsidRPr="003D05E6" w:rsidRDefault="003D05E6" w:rsidP="00CB30D1">
      <w:pPr>
        <w:pStyle w:val="ad"/>
        <w:numPr>
          <w:ilvl w:val="0"/>
          <w:numId w:val="4"/>
        </w:numPr>
        <w:bidi/>
        <w:spacing w:before="240" w:line="360" w:lineRule="auto"/>
        <w:rPr>
          <w:rFonts w:ascii="David" w:hAnsi="David" w:cs="David"/>
          <w:sz w:val="24"/>
          <w:szCs w:val="24"/>
          <w:rtl/>
        </w:rPr>
      </w:pPr>
      <w:r w:rsidRPr="003D05E6">
        <w:rPr>
          <w:rFonts w:ascii="David" w:hAnsi="David" w:cs="David" w:hint="cs"/>
          <w:sz w:val="24"/>
          <w:szCs w:val="24"/>
          <w:rtl/>
        </w:rPr>
        <w:t>פניית ב"כ הנאשם היתה של</w:t>
      </w:r>
      <w:r w:rsidR="00CB30D1">
        <w:rPr>
          <w:rFonts w:ascii="David" w:hAnsi="David" w:cs="David" w:hint="cs"/>
          <w:sz w:val="24"/>
          <w:szCs w:val="24"/>
          <w:rtl/>
        </w:rPr>
        <w:t>ו</w:t>
      </w:r>
      <w:r w:rsidRPr="003D05E6">
        <w:rPr>
          <w:rFonts w:ascii="David" w:hAnsi="David" w:cs="David" w:hint="cs"/>
          <w:sz w:val="24"/>
          <w:szCs w:val="24"/>
          <w:rtl/>
        </w:rPr>
        <w:t>שה שבועות לאחר האירוע לכן בכל מקרה חומר מצול</w:t>
      </w:r>
      <w:r w:rsidR="00CB30D1">
        <w:rPr>
          <w:rFonts w:ascii="David" w:hAnsi="David" w:cs="David" w:hint="cs"/>
          <w:sz w:val="24"/>
          <w:szCs w:val="24"/>
          <w:rtl/>
        </w:rPr>
        <w:t>ם</w:t>
      </w:r>
      <w:r w:rsidRPr="003D05E6">
        <w:rPr>
          <w:rFonts w:ascii="David" w:hAnsi="David" w:cs="David" w:hint="cs"/>
          <w:sz w:val="24"/>
          <w:szCs w:val="24"/>
          <w:rtl/>
        </w:rPr>
        <w:t xml:space="preserve"> כבר נמחק.</w:t>
      </w:r>
    </w:p>
    <w:p w:rsidR="003D05E6" w:rsidRDefault="003D05E6" w:rsidP="003D05E6">
      <w:pPr>
        <w:pStyle w:val="ad"/>
        <w:bidi/>
        <w:spacing w:before="240" w:line="360" w:lineRule="auto"/>
        <w:ind w:left="1800"/>
        <w:rPr>
          <w:rFonts w:ascii="David" w:hAnsi="David" w:cs="David"/>
          <w:sz w:val="24"/>
          <w:szCs w:val="24"/>
        </w:rPr>
      </w:pPr>
    </w:p>
    <w:p w:rsidR="003D05E6" w:rsidRPr="003B0B8A" w:rsidRDefault="003D05E6" w:rsidP="00C97E11">
      <w:pPr>
        <w:pStyle w:val="ad"/>
        <w:numPr>
          <w:ilvl w:val="0"/>
          <w:numId w:val="1"/>
        </w:numPr>
        <w:bidi/>
        <w:spacing w:before="240" w:line="360" w:lineRule="auto"/>
        <w:rPr>
          <w:rFonts w:ascii="David" w:hAnsi="David"/>
          <w:b/>
          <w:bCs/>
          <w:rtl/>
        </w:rPr>
      </w:pPr>
      <w:r w:rsidRPr="003B0B8A">
        <w:rPr>
          <w:rFonts w:ascii="David" w:hAnsi="David" w:cs="David" w:hint="cs"/>
          <w:sz w:val="24"/>
          <w:szCs w:val="24"/>
          <w:rtl/>
        </w:rPr>
        <w:t>מח"ש לא הגיבה</w:t>
      </w:r>
      <w:r w:rsidR="00CB30D1" w:rsidRPr="003B0B8A">
        <w:rPr>
          <w:rFonts w:ascii="David" w:hAnsi="David" w:cs="David" w:hint="cs"/>
          <w:sz w:val="24"/>
          <w:szCs w:val="24"/>
          <w:rtl/>
        </w:rPr>
        <w:t xml:space="preserve"> להחלטת בית המשפט מיום  26.3.24.</w:t>
      </w:r>
    </w:p>
    <w:p w:rsidR="003D05E6" w:rsidRDefault="003D05E6" w:rsidP="003D05E6">
      <w:pPr>
        <w:spacing w:before="240" w:line="360" w:lineRule="auto"/>
        <w:rPr>
          <w:rFonts w:ascii="David" w:hAnsi="David"/>
          <w:b/>
          <w:bCs/>
          <w:rtl/>
        </w:rPr>
      </w:pPr>
      <w:r w:rsidRPr="007A30FF">
        <w:rPr>
          <w:rFonts w:ascii="David" w:hAnsi="David" w:hint="cs"/>
          <w:b/>
          <w:bCs/>
          <w:rtl/>
        </w:rPr>
        <w:t>טענות הצדדים</w:t>
      </w:r>
    </w:p>
    <w:p w:rsidR="003D05E6" w:rsidRDefault="003D05E6" w:rsidP="003D05E6">
      <w:pPr>
        <w:spacing w:before="240" w:line="360" w:lineRule="auto"/>
        <w:rPr>
          <w:rFonts w:ascii="David" w:hAnsi="David"/>
          <w:b/>
          <w:bCs/>
          <w:rtl/>
        </w:rPr>
      </w:pPr>
      <w:r>
        <w:rPr>
          <w:rFonts w:ascii="David" w:hAnsi="David" w:hint="cs"/>
          <w:b/>
          <w:bCs/>
          <w:rtl/>
        </w:rPr>
        <w:t>ב"כ הנאשם</w:t>
      </w:r>
    </w:p>
    <w:p w:rsidR="003D05E6" w:rsidRDefault="003D05E6" w:rsidP="003D05E6">
      <w:pPr>
        <w:pStyle w:val="ad"/>
        <w:numPr>
          <w:ilvl w:val="0"/>
          <w:numId w:val="1"/>
        </w:numPr>
        <w:bidi/>
        <w:spacing w:before="240" w:line="360" w:lineRule="auto"/>
        <w:rPr>
          <w:rFonts w:ascii="David" w:hAnsi="David" w:cs="David"/>
          <w:sz w:val="24"/>
          <w:szCs w:val="24"/>
        </w:rPr>
      </w:pPr>
      <w:r>
        <w:rPr>
          <w:rFonts w:ascii="David" w:hAnsi="David" w:cs="David" w:hint="cs"/>
          <w:sz w:val="24"/>
          <w:szCs w:val="24"/>
          <w:rtl/>
        </w:rPr>
        <w:t xml:space="preserve">ב"כ הנאשם חוזר על הנטען בכתב ובעל פה. לטענתו מדובר במחדל חקירה מהותי הפוגע בעצם זכותו של הנאשם להליך הוגן. הימנעות המשטרה מאיסוף חומר מהמצלמות כאמור מונעת מהנאשם מימוש זכות חקירה נגדית. אין ביכולתו לעמת את המתלוננים עם תיעוד המצולם של האירוע. </w:t>
      </w:r>
    </w:p>
    <w:p w:rsidR="003D05E6" w:rsidRDefault="003D05E6" w:rsidP="003D05E6">
      <w:pPr>
        <w:pStyle w:val="ad"/>
        <w:bidi/>
        <w:spacing w:before="240" w:line="360" w:lineRule="auto"/>
        <w:rPr>
          <w:rFonts w:ascii="David" w:hAnsi="David" w:cs="David"/>
          <w:sz w:val="24"/>
          <w:szCs w:val="24"/>
          <w:rtl/>
        </w:rPr>
      </w:pPr>
    </w:p>
    <w:p w:rsidR="003D05E6" w:rsidRDefault="003D05E6" w:rsidP="00CB30D1">
      <w:pPr>
        <w:pStyle w:val="ad"/>
        <w:bidi/>
        <w:spacing w:before="240" w:line="360" w:lineRule="auto"/>
        <w:rPr>
          <w:rFonts w:ascii="David" w:hAnsi="David" w:cs="David"/>
          <w:sz w:val="24"/>
          <w:szCs w:val="24"/>
          <w:rtl/>
        </w:rPr>
      </w:pPr>
      <w:r>
        <w:rPr>
          <w:rFonts w:ascii="David" w:hAnsi="David" w:cs="David" w:hint="cs"/>
          <w:sz w:val="24"/>
          <w:szCs w:val="24"/>
          <w:rtl/>
        </w:rPr>
        <w:t xml:space="preserve">אין נפקות לטענת המאשימה שלא ניתן לדעת מה כן צולם ואם בכלל, אזי לא ניתן לקבוע קיומה של פגיעה בזכותו של הנאשם להליך ראוי. נטען על ידי הסנגור טענת "מחדל חקירה" כעילה לביטול כתב אישום /זיכוי הנאשם "מטעמי צדק". הטענה מתמקדת בעצם המחדל ולא על התוצאה. לדבריו מדובר בתיק "גרסה מול גרסה" לכן המחדל של </w:t>
      </w:r>
      <w:r w:rsidR="00CB30D1">
        <w:rPr>
          <w:rFonts w:ascii="David" w:hAnsi="David" w:cs="David" w:hint="cs"/>
          <w:sz w:val="24"/>
          <w:szCs w:val="24"/>
          <w:rtl/>
        </w:rPr>
        <w:t>ה</w:t>
      </w:r>
      <w:r>
        <w:rPr>
          <w:rFonts w:ascii="David" w:hAnsi="David" w:cs="David" w:hint="cs"/>
          <w:sz w:val="24"/>
          <w:szCs w:val="24"/>
          <w:rtl/>
        </w:rPr>
        <w:t>רשות החוקר</w:t>
      </w:r>
      <w:r w:rsidR="00CB30D1">
        <w:rPr>
          <w:rFonts w:ascii="David" w:hAnsi="David" w:cs="David" w:hint="cs"/>
          <w:sz w:val="24"/>
          <w:szCs w:val="24"/>
          <w:rtl/>
        </w:rPr>
        <w:t>ת</w:t>
      </w:r>
      <w:r>
        <w:rPr>
          <w:rFonts w:ascii="David" w:hAnsi="David" w:cs="David" w:hint="cs"/>
          <w:sz w:val="24"/>
          <w:szCs w:val="24"/>
          <w:rtl/>
        </w:rPr>
        <w:t xml:space="preserve"> מהווה פגיעה של ממש ל"הליך ראוי" ו</w:t>
      </w:r>
      <w:r w:rsidR="00CB30D1">
        <w:rPr>
          <w:rFonts w:ascii="David" w:hAnsi="David" w:cs="David" w:hint="cs"/>
          <w:sz w:val="24"/>
          <w:szCs w:val="24"/>
          <w:rtl/>
        </w:rPr>
        <w:t>ה</w:t>
      </w:r>
      <w:r>
        <w:rPr>
          <w:rFonts w:ascii="David" w:hAnsi="David" w:cs="David" w:hint="cs"/>
          <w:sz w:val="24"/>
          <w:szCs w:val="24"/>
          <w:rtl/>
        </w:rPr>
        <w:t xml:space="preserve">וגן עבור הנאשם ולא ניתן לרפא את הפגיעה בדרך שמיעת העדים. </w:t>
      </w:r>
    </w:p>
    <w:p w:rsidR="003D05E6" w:rsidRDefault="003D05E6" w:rsidP="003D05E6">
      <w:pPr>
        <w:spacing w:before="240" w:line="360" w:lineRule="auto"/>
        <w:rPr>
          <w:rFonts w:ascii="David" w:hAnsi="David"/>
          <w:b/>
          <w:bCs/>
          <w:rtl/>
        </w:rPr>
      </w:pPr>
      <w:r>
        <w:rPr>
          <w:rFonts w:ascii="David" w:hAnsi="David" w:hint="cs"/>
          <w:b/>
          <w:bCs/>
          <w:rtl/>
        </w:rPr>
        <w:t>ב"כ המאשימה</w:t>
      </w:r>
    </w:p>
    <w:p w:rsidR="003D05E6" w:rsidRDefault="003D05E6" w:rsidP="003D05E6">
      <w:pPr>
        <w:pStyle w:val="ad"/>
        <w:numPr>
          <w:ilvl w:val="0"/>
          <w:numId w:val="1"/>
        </w:numPr>
        <w:bidi/>
        <w:spacing w:before="240" w:line="360" w:lineRule="auto"/>
        <w:rPr>
          <w:rFonts w:ascii="David" w:hAnsi="David" w:cs="David"/>
          <w:sz w:val="24"/>
          <w:szCs w:val="24"/>
        </w:rPr>
      </w:pPr>
      <w:r>
        <w:rPr>
          <w:rFonts w:ascii="David" w:hAnsi="David" w:cs="David" w:hint="cs"/>
          <w:sz w:val="24"/>
          <w:szCs w:val="24"/>
          <w:rtl/>
        </w:rPr>
        <w:t xml:space="preserve">נטען על ידי ב"כ המאשימה שיש לשמוע מכלול העדים בטרם מתן החלטה בבקשה. חרף "מחדל חקירה" נקבע בפסיקה שבית המשפט אמור לשקול מהות "המחדל" כנגד משקל הראיות בפניו. אין בהכרח של "המחדל" ביחס לאי תפיסת חומר מצולם כדי להביא לזיכוי הנאשם.  המאשימה מפנה לע"פ 5193-04-20 </w:t>
      </w:r>
      <w:r w:rsidRPr="006E5A67">
        <w:rPr>
          <w:rFonts w:ascii="David" w:hAnsi="David" w:cs="David" w:hint="cs"/>
          <w:b/>
          <w:bCs/>
          <w:sz w:val="24"/>
          <w:szCs w:val="24"/>
          <w:rtl/>
        </w:rPr>
        <w:t>איטח נ.מ"י</w:t>
      </w:r>
      <w:r>
        <w:rPr>
          <w:rFonts w:ascii="David" w:hAnsi="David" w:cs="David" w:hint="cs"/>
          <w:sz w:val="24"/>
          <w:szCs w:val="24"/>
          <w:rtl/>
        </w:rPr>
        <w:t xml:space="preserve"> ( פורסם 17.6.20).</w:t>
      </w:r>
    </w:p>
    <w:p w:rsidR="003D05E6" w:rsidRPr="00FC0686" w:rsidRDefault="003D05E6" w:rsidP="003D05E6">
      <w:pPr>
        <w:spacing w:before="240" w:line="360" w:lineRule="auto"/>
        <w:rPr>
          <w:rFonts w:ascii="David" w:hAnsi="David"/>
          <w:b/>
          <w:bCs/>
        </w:rPr>
      </w:pPr>
      <w:r w:rsidRPr="00FC0686">
        <w:rPr>
          <w:rFonts w:ascii="David" w:hAnsi="David" w:hint="cs"/>
          <w:b/>
          <w:bCs/>
          <w:rtl/>
        </w:rPr>
        <w:t>דיון והכרעה</w:t>
      </w:r>
    </w:p>
    <w:p w:rsidR="003D05E6" w:rsidRDefault="003D05E6" w:rsidP="003D05E6">
      <w:pPr>
        <w:spacing w:before="240" w:line="360" w:lineRule="auto"/>
        <w:ind w:left="360"/>
        <w:rPr>
          <w:rFonts w:ascii="David" w:hAnsi="David"/>
          <w:b/>
          <w:bCs/>
          <w:rtl/>
        </w:rPr>
      </w:pPr>
      <w:r w:rsidRPr="00FC0686">
        <w:rPr>
          <w:rFonts w:ascii="David" w:hAnsi="David" w:hint="cs"/>
          <w:b/>
          <w:bCs/>
          <w:rtl/>
        </w:rPr>
        <w:t>מחדל חקירה</w:t>
      </w:r>
    </w:p>
    <w:p w:rsidR="003D05E6" w:rsidRDefault="003D05E6" w:rsidP="003D05E6">
      <w:pPr>
        <w:pStyle w:val="ad"/>
        <w:numPr>
          <w:ilvl w:val="0"/>
          <w:numId w:val="1"/>
        </w:numPr>
        <w:bidi/>
        <w:spacing w:before="240" w:line="360" w:lineRule="auto"/>
        <w:rPr>
          <w:rFonts w:ascii="David" w:hAnsi="David" w:cs="David"/>
          <w:sz w:val="24"/>
          <w:szCs w:val="24"/>
        </w:rPr>
      </w:pPr>
      <w:r>
        <w:rPr>
          <w:rFonts w:ascii="David" w:hAnsi="David" w:cs="David" w:hint="cs"/>
          <w:sz w:val="24"/>
          <w:szCs w:val="24"/>
          <w:rtl/>
        </w:rPr>
        <w:t xml:space="preserve">בע"פ 8561/22 </w:t>
      </w:r>
      <w:r w:rsidRPr="006E5A67">
        <w:rPr>
          <w:rFonts w:ascii="David" w:hAnsi="David" w:cs="David" w:hint="cs"/>
          <w:b/>
          <w:bCs/>
          <w:sz w:val="24"/>
          <w:szCs w:val="24"/>
          <w:rtl/>
        </w:rPr>
        <w:t>פלוני נ. מ"י</w:t>
      </w:r>
      <w:r>
        <w:rPr>
          <w:rFonts w:ascii="David" w:hAnsi="David" w:cs="David" w:hint="cs"/>
          <w:sz w:val="24"/>
          <w:szCs w:val="24"/>
          <w:rtl/>
        </w:rPr>
        <w:t xml:space="preserve"> (פורסם 12.1.23) כב' השופט שטיין מפנה לכלל המנחה במבחן "מחדל חקירה" המהווה פגיעה של ממש בזכות נאשם להליך ראוי והוגן: </w:t>
      </w:r>
    </w:p>
    <w:p w:rsidR="003D05E6" w:rsidRPr="006770B6" w:rsidRDefault="003D05E6" w:rsidP="003D05E6">
      <w:pPr>
        <w:pStyle w:val="Ruller4"/>
        <w:numPr>
          <w:ilvl w:val="0"/>
          <w:numId w:val="0"/>
        </w:numPr>
        <w:ind w:left="1440"/>
        <w:rPr>
          <w:rFonts w:ascii="David" w:hAnsi="David" w:cs="David"/>
          <w:b/>
          <w:bCs/>
          <w:szCs w:val="24"/>
          <w:rtl/>
        </w:rPr>
      </w:pPr>
      <w:r w:rsidRPr="006770B6">
        <w:rPr>
          <w:rFonts w:ascii="David" w:hAnsi="David" w:cs="David"/>
          <w:b/>
          <w:bCs/>
          <w:szCs w:val="24"/>
          <w:rtl/>
        </w:rPr>
        <w:t xml:space="preserve">האם חוסר התיעוד שתואר לעיל – הוא כשלעצמו – מוביל אל המסקנה כי מן הדין לבטל את הרשעת המערער בהתאם לדרישותיהם של עקרונות ההגנה מן הצדק וההליך הוגן? (ראו: עניין </w:t>
      </w:r>
      <w:r w:rsidRPr="001C3645">
        <w:rPr>
          <w:rFonts w:ascii="David" w:hAnsi="David" w:cs="David"/>
          <w:b/>
          <w:bCs/>
          <w:spacing w:val="0"/>
          <w:szCs w:val="24"/>
          <w:u w:val="single"/>
          <w:rtl/>
        </w:rPr>
        <w:t>זינאתי</w:t>
      </w:r>
      <w:r w:rsidRPr="006770B6">
        <w:rPr>
          <w:rFonts w:ascii="David" w:hAnsi="David" w:cs="David"/>
          <w:b/>
          <w:bCs/>
          <w:szCs w:val="24"/>
          <w:rtl/>
        </w:rPr>
        <w:t xml:space="preserve">, שם). שאלה זו עולה ביתר שאת ביחס לתרחיש האפשרי שבו חמש הקלטות נעלמו אחרי </w:t>
      </w:r>
      <w:r w:rsidRPr="006770B6">
        <w:rPr>
          <w:rFonts w:ascii="David" w:hAnsi="David" w:cs="David"/>
          <w:b/>
          <w:bCs/>
          <w:szCs w:val="24"/>
          <w:rtl/>
        </w:rPr>
        <w:lastRenderedPageBreak/>
        <w:t>הפקתן. בהקשרן של תקלות כדוגמת זאת, הבעתי את עמדתי-שלי כדלקמן:</w:t>
      </w:r>
    </w:p>
    <w:p w:rsidR="003D05E6" w:rsidRPr="006770B6" w:rsidRDefault="003D05E6" w:rsidP="003D05E6">
      <w:pPr>
        <w:pStyle w:val="Ruller5"/>
        <w:spacing w:line="360" w:lineRule="auto"/>
        <w:rPr>
          <w:rFonts w:ascii="David" w:hAnsi="David" w:cs="David"/>
          <w:b/>
          <w:bCs/>
          <w:sz w:val="24"/>
          <w:szCs w:val="24"/>
          <w:rtl/>
        </w:rPr>
      </w:pPr>
      <w:r w:rsidRPr="006770B6">
        <w:rPr>
          <w:rFonts w:ascii="David" w:hAnsi="David" w:cs="David"/>
          <w:b/>
          <w:bCs/>
          <w:sz w:val="24"/>
          <w:szCs w:val="24"/>
          <w:rtl/>
        </w:rPr>
        <w:t xml:space="preserve">"סבורני, כי טוב נעשה אם נלך בכגון דא אחר הדין האמריקני שבבסיסו עומדת חובה חוקתית של המדינה לגלות לנאשם כל חומר ראייתי אשר יכול להביא לזיכויו (ראו </w:t>
      </w:r>
      <w:r w:rsidRPr="006770B6">
        <w:rPr>
          <w:rFonts w:ascii="David" w:hAnsi="David" w:cs="David"/>
          <w:b/>
          <w:bCs/>
          <w:sz w:val="24"/>
          <w:szCs w:val="24"/>
          <w:lang w:val="en"/>
        </w:rPr>
        <w:t>Brady v. Maryland, 373 U.S. 83 (1963)</w:t>
      </w:r>
      <w:r w:rsidRPr="006770B6">
        <w:rPr>
          <w:rFonts w:ascii="David" w:hAnsi="David" w:cs="David"/>
          <w:b/>
          <w:bCs/>
          <w:sz w:val="24"/>
          <w:szCs w:val="24"/>
          <w:rtl/>
        </w:rPr>
        <w:t>). חובה זו והסנקציה המוטלת על המדינה בגין הפרתה הוסדרו בשלושה כללים אשר מבחינים בין חומר ראייתי מהותי אשר מצביע על חפותו של הנאשם (</w:t>
      </w:r>
      <w:r w:rsidRPr="006770B6">
        <w:rPr>
          <w:rFonts w:ascii="David" w:hAnsi="David" w:cs="David"/>
          <w:b/>
          <w:bCs/>
          <w:sz w:val="24"/>
          <w:szCs w:val="24"/>
        </w:rPr>
        <w:t>material exculpatory</w:t>
      </w:r>
      <w:r w:rsidRPr="006770B6">
        <w:rPr>
          <w:rFonts w:ascii="David" w:hAnsi="David" w:cs="David"/>
          <w:b/>
          <w:bCs/>
          <w:sz w:val="24"/>
          <w:szCs w:val="24"/>
          <w:rtl/>
        </w:rPr>
        <w:t>) לבין חומר ראייתי אשר רק ייתכן שיהא בו כדי לסייע לנאשם בהגנתו (</w:t>
      </w:r>
      <w:r w:rsidRPr="006770B6">
        <w:rPr>
          <w:rFonts w:ascii="David" w:hAnsi="David" w:cs="David"/>
          <w:b/>
          <w:bCs/>
          <w:sz w:val="24"/>
          <w:szCs w:val="24"/>
        </w:rPr>
        <w:t>potentially useful</w:t>
      </w:r>
      <w:r w:rsidRPr="006770B6">
        <w:rPr>
          <w:rFonts w:ascii="David" w:hAnsi="David" w:cs="David"/>
          <w:b/>
          <w:bCs/>
          <w:sz w:val="24"/>
          <w:szCs w:val="24"/>
          <w:rtl/>
        </w:rPr>
        <w:t xml:space="preserve">). בכל אחד משני המקרים הללו, כאשר המדינה מסתירה את החומר במתכוון או בחוסר תום-לב, נאשם שהורשע בדינו יהא זכאי לביטולה האוטומטי של ההרשעה. להבחנה בין שתי רמות העוצמה הראייתית של החומר שלא גולה לנאשם יש חשיבות מכרעת במקרים בהם המדינה אינה מגלה לנאשם את החומר מחמת שגגה, הנקייה מעצימת עיניים, כלומר כאשר היא פועלת בתום-לב עילאי. במקרים אלו, הסתרה של חומר מהותי אשר מצביע על חפותו של הנאשם תביא לזיכויו, כמו במקרים של חוסר תום-לב מצד המדינה. ואולם, אם החומר אשר לא גולה לנאשם מפאת שגגה מכיל מחובו סיוע פוטנציאלי להגנתו – להבדיל מתמיכה מהותית בתזת החפות שלו – יהא על בית המשפט לבחון את הרשעת הנאשם לגופה, וזו יכול שתישאר על כנה. ראו: </w:t>
      </w:r>
      <w:r w:rsidRPr="006770B6">
        <w:rPr>
          <w:rFonts w:ascii="David" w:hAnsi="David" w:cs="David"/>
          <w:b/>
          <w:bCs/>
          <w:sz w:val="24"/>
          <w:szCs w:val="24"/>
        </w:rPr>
        <w:t xml:space="preserve">Illinois v. Fisher, 540 U.S. 544, 545, 547-548 (2004); </w:t>
      </w:r>
      <w:r w:rsidRPr="006770B6">
        <w:rPr>
          <w:rFonts w:ascii="David" w:hAnsi="David" w:cs="David"/>
          <w:b/>
          <w:bCs/>
          <w:sz w:val="24"/>
          <w:szCs w:val="24"/>
          <w:lang w:val="en"/>
        </w:rPr>
        <w:t>Arizona v. Youngblood, 488 U.S. 51, 57-58 (1988)</w:t>
      </w:r>
      <w:r w:rsidRPr="006770B6">
        <w:rPr>
          <w:rFonts w:ascii="David" w:hAnsi="David" w:cs="David"/>
          <w:b/>
          <w:bCs/>
          <w:sz w:val="24"/>
          <w:szCs w:val="24"/>
          <w:rtl/>
        </w:rPr>
        <w:t xml:space="preserve">" (ראו: בש"פ 1378/20 </w:t>
      </w:r>
      <w:r w:rsidRPr="006770B6">
        <w:rPr>
          <w:rFonts w:ascii="David" w:hAnsi="David" w:cs="David"/>
          <w:b/>
          <w:bCs/>
          <w:spacing w:val="0"/>
          <w:sz w:val="24"/>
          <w:szCs w:val="24"/>
          <w:rtl/>
        </w:rPr>
        <w:t>זגורי נ' מדינת ישראל</w:t>
      </w:r>
      <w:r w:rsidRPr="006770B6">
        <w:rPr>
          <w:rFonts w:ascii="David" w:hAnsi="David" w:cs="David"/>
          <w:b/>
          <w:bCs/>
          <w:sz w:val="24"/>
          <w:szCs w:val="24"/>
          <w:rtl/>
        </w:rPr>
        <w:t xml:space="preserve">, פסקה 60 </w:t>
      </w:r>
      <w:r w:rsidRPr="006770B6">
        <w:rPr>
          <w:rFonts w:ascii="David" w:hAnsi="David" w:cs="David"/>
          <w:b/>
          <w:bCs/>
          <w:spacing w:val="0"/>
          <w:sz w:val="24"/>
          <w:szCs w:val="24"/>
          <w:rtl/>
        </w:rPr>
        <w:t xml:space="preserve">[פורסם בנבו] </w:t>
      </w:r>
      <w:r w:rsidRPr="006770B6">
        <w:rPr>
          <w:rFonts w:ascii="David" w:hAnsi="David" w:cs="David"/>
          <w:b/>
          <w:bCs/>
          <w:sz w:val="24"/>
          <w:szCs w:val="24"/>
          <w:rtl/>
        </w:rPr>
        <w:t>(7.4.2020)).</w:t>
      </w:r>
    </w:p>
    <w:p w:rsidR="003D05E6" w:rsidRDefault="003D05E6" w:rsidP="003B0B8A">
      <w:pPr>
        <w:pStyle w:val="ad"/>
        <w:bidi/>
        <w:spacing w:before="240" w:line="360" w:lineRule="auto"/>
        <w:rPr>
          <w:rFonts w:ascii="David" w:hAnsi="David" w:cs="David"/>
          <w:sz w:val="24"/>
          <w:szCs w:val="24"/>
          <w:rtl/>
        </w:rPr>
      </w:pPr>
      <w:r>
        <w:rPr>
          <w:rFonts w:ascii="David" w:hAnsi="David" w:cs="David" w:hint="cs"/>
          <w:sz w:val="24"/>
          <w:szCs w:val="24"/>
          <w:rtl/>
        </w:rPr>
        <w:t xml:space="preserve">אמנם בעניינו של הנאשם לא מדובר ב"הפקת קלטות" ואובדן אותן קלטות כפי שעולה פסק דין </w:t>
      </w:r>
      <w:r w:rsidRPr="001C3645">
        <w:rPr>
          <w:rFonts w:ascii="David" w:hAnsi="David" w:cs="David" w:hint="cs"/>
          <w:b/>
          <w:bCs/>
          <w:sz w:val="24"/>
          <w:szCs w:val="24"/>
          <w:rtl/>
        </w:rPr>
        <w:t>פלוני</w:t>
      </w:r>
      <w:r>
        <w:rPr>
          <w:rFonts w:ascii="David" w:hAnsi="David" w:cs="David" w:hint="cs"/>
          <w:b/>
          <w:bCs/>
          <w:sz w:val="24"/>
          <w:szCs w:val="24"/>
          <w:rtl/>
        </w:rPr>
        <w:t xml:space="preserve">. </w:t>
      </w:r>
      <w:r>
        <w:rPr>
          <w:rFonts w:ascii="David" w:hAnsi="David" w:cs="David" w:hint="cs"/>
          <w:sz w:val="24"/>
          <w:szCs w:val="24"/>
          <w:rtl/>
        </w:rPr>
        <w:t>כאן מדובר במצב יותר חמור המצלמות בכלל לא נבדקו ולא נאספו.  לכן לא ניתן לדעת מה מתועד על ידי מצלמות אבטחה בזיר</w:t>
      </w:r>
      <w:r w:rsidR="003B0B8A">
        <w:rPr>
          <w:rFonts w:ascii="David" w:hAnsi="David" w:cs="David" w:hint="cs"/>
          <w:sz w:val="24"/>
          <w:szCs w:val="24"/>
          <w:rtl/>
        </w:rPr>
        <w:t>ת</w:t>
      </w:r>
      <w:r>
        <w:rPr>
          <w:rFonts w:ascii="David" w:hAnsi="David" w:cs="David" w:hint="cs"/>
          <w:sz w:val="24"/>
          <w:szCs w:val="24"/>
          <w:rtl/>
        </w:rPr>
        <w:t xml:space="preserve"> האירוע בזמן אמת.  נקבע הכלל כאמור כדי לכוון </w:t>
      </w:r>
      <w:r w:rsidR="00CB30D1">
        <w:rPr>
          <w:rFonts w:ascii="David" w:hAnsi="David" w:cs="David" w:hint="cs"/>
          <w:sz w:val="24"/>
          <w:szCs w:val="24"/>
          <w:rtl/>
        </w:rPr>
        <w:t>את ה</w:t>
      </w:r>
      <w:r>
        <w:rPr>
          <w:rFonts w:ascii="David" w:hAnsi="David" w:cs="David" w:hint="cs"/>
          <w:sz w:val="24"/>
          <w:szCs w:val="24"/>
          <w:rtl/>
        </w:rPr>
        <w:t>רשות החוקרת לאסוף ולשמור ראיות שגם מסייעות לנאשם.</w:t>
      </w:r>
    </w:p>
    <w:p w:rsidR="003D05E6" w:rsidRDefault="003D05E6" w:rsidP="003D05E6">
      <w:pPr>
        <w:pStyle w:val="ad"/>
        <w:bidi/>
        <w:spacing w:before="240" w:line="360" w:lineRule="auto"/>
        <w:rPr>
          <w:rFonts w:ascii="David" w:hAnsi="David" w:cs="David"/>
          <w:sz w:val="24"/>
          <w:szCs w:val="24"/>
          <w:rtl/>
        </w:rPr>
      </w:pPr>
    </w:p>
    <w:p w:rsidR="003D05E6" w:rsidRDefault="003D05E6" w:rsidP="003D05E6">
      <w:pPr>
        <w:pStyle w:val="ad"/>
        <w:bidi/>
        <w:spacing w:before="240" w:line="360" w:lineRule="auto"/>
        <w:rPr>
          <w:rFonts w:ascii="David" w:hAnsi="David" w:cs="David"/>
          <w:sz w:val="24"/>
          <w:szCs w:val="24"/>
          <w:rtl/>
        </w:rPr>
      </w:pPr>
      <w:r>
        <w:rPr>
          <w:rFonts w:ascii="David" w:hAnsi="David" w:cs="David" w:hint="cs"/>
          <w:sz w:val="24"/>
          <w:szCs w:val="24"/>
          <w:rtl/>
        </w:rPr>
        <w:lastRenderedPageBreak/>
        <w:t>לפחות במקרה של הפקת קלטת</w:t>
      </w:r>
      <w:r w:rsidR="003B0B8A">
        <w:rPr>
          <w:rFonts w:ascii="David" w:hAnsi="David" w:cs="David" w:hint="cs"/>
          <w:sz w:val="24"/>
          <w:szCs w:val="24"/>
          <w:rtl/>
        </w:rPr>
        <w:t>,</w:t>
      </w:r>
      <w:r>
        <w:rPr>
          <w:rFonts w:ascii="David" w:hAnsi="David" w:cs="David" w:hint="cs"/>
          <w:sz w:val="24"/>
          <w:szCs w:val="24"/>
          <w:rtl/>
        </w:rPr>
        <w:t xml:space="preserve"> יש עדות מה מתועד</w:t>
      </w:r>
      <w:r w:rsidR="00CB30D1">
        <w:rPr>
          <w:rFonts w:ascii="David" w:hAnsi="David" w:cs="David" w:hint="cs"/>
          <w:sz w:val="24"/>
          <w:szCs w:val="24"/>
          <w:rtl/>
        </w:rPr>
        <w:t xml:space="preserve">, </w:t>
      </w:r>
      <w:r>
        <w:rPr>
          <w:rFonts w:ascii="David" w:hAnsi="David" w:cs="David" w:hint="cs"/>
          <w:sz w:val="24"/>
          <w:szCs w:val="24"/>
          <w:rtl/>
        </w:rPr>
        <w:t xml:space="preserve">ולכן קיימת עדות משנית ביחס לתוכן חומר מצולם. </w:t>
      </w:r>
    </w:p>
    <w:p w:rsidR="003D05E6" w:rsidRDefault="003D05E6" w:rsidP="003D05E6">
      <w:pPr>
        <w:pStyle w:val="ad"/>
        <w:bidi/>
        <w:spacing w:before="240" w:line="360" w:lineRule="auto"/>
        <w:rPr>
          <w:rFonts w:ascii="David" w:hAnsi="David" w:cs="David"/>
          <w:sz w:val="24"/>
          <w:szCs w:val="24"/>
          <w:rtl/>
        </w:rPr>
      </w:pPr>
    </w:p>
    <w:p w:rsidR="003D05E6" w:rsidRDefault="003D05E6" w:rsidP="003D05E6">
      <w:pPr>
        <w:pStyle w:val="ad"/>
        <w:numPr>
          <w:ilvl w:val="0"/>
          <w:numId w:val="1"/>
        </w:numPr>
        <w:bidi/>
        <w:spacing w:before="240" w:line="360" w:lineRule="auto"/>
        <w:rPr>
          <w:rFonts w:ascii="David" w:hAnsi="David" w:cs="David"/>
          <w:sz w:val="24"/>
          <w:szCs w:val="24"/>
        </w:rPr>
      </w:pPr>
      <w:r>
        <w:rPr>
          <w:rFonts w:ascii="David" w:hAnsi="David" w:cs="David" w:hint="cs"/>
          <w:sz w:val="24"/>
          <w:szCs w:val="24"/>
          <w:rtl/>
        </w:rPr>
        <w:t xml:space="preserve"> </w:t>
      </w:r>
      <w:r w:rsidR="003B0B8A">
        <w:rPr>
          <w:rFonts w:ascii="David" w:hAnsi="David" w:cs="David" w:hint="cs"/>
          <w:sz w:val="24"/>
          <w:szCs w:val="24"/>
          <w:rtl/>
        </w:rPr>
        <w:t>ב</w:t>
      </w:r>
      <w:r w:rsidR="00823131">
        <w:rPr>
          <w:rFonts w:ascii="David" w:hAnsi="David" w:cs="David" w:hint="cs"/>
          <w:sz w:val="24"/>
          <w:szCs w:val="24"/>
          <w:rtl/>
        </w:rPr>
        <w:t>ב</w:t>
      </w:r>
      <w:r>
        <w:rPr>
          <w:rFonts w:ascii="David" w:hAnsi="David" w:cs="David" w:hint="cs"/>
          <w:sz w:val="24"/>
          <w:szCs w:val="24"/>
          <w:rtl/>
        </w:rPr>
        <w:t xml:space="preserve">מה כן חשיבות </w:t>
      </w:r>
      <w:r w:rsidR="00823131">
        <w:rPr>
          <w:rFonts w:ascii="David" w:hAnsi="David" w:cs="David" w:hint="cs"/>
          <w:sz w:val="24"/>
          <w:szCs w:val="24"/>
          <w:rtl/>
        </w:rPr>
        <w:t>ה</w:t>
      </w:r>
      <w:r>
        <w:rPr>
          <w:rFonts w:ascii="David" w:hAnsi="David" w:cs="David" w:hint="cs"/>
          <w:sz w:val="24"/>
          <w:szCs w:val="24"/>
          <w:rtl/>
        </w:rPr>
        <w:t xml:space="preserve">תיעוד על ידי מצלמות אבטחה ומצלמת גוף?  טמון בתיעוד מצולם של האירוע יכולתו של הנאשם לערוך חקירה נגדית של ממש ואף ראיה בעלת אפשרות להביא לזיכויו.  המאשימה מפנה </w:t>
      </w:r>
      <w:r w:rsidR="00CB30D1">
        <w:rPr>
          <w:rFonts w:ascii="David" w:hAnsi="David" w:cs="David" w:hint="cs"/>
          <w:sz w:val="24"/>
          <w:szCs w:val="24"/>
          <w:rtl/>
        </w:rPr>
        <w:t>ל</w:t>
      </w:r>
      <w:r>
        <w:rPr>
          <w:rFonts w:ascii="David" w:hAnsi="David" w:cs="David" w:hint="cs"/>
          <w:sz w:val="24"/>
          <w:szCs w:val="24"/>
          <w:rtl/>
        </w:rPr>
        <w:t xml:space="preserve">פסק הדין  </w:t>
      </w:r>
      <w:r w:rsidRPr="006E5A67">
        <w:rPr>
          <w:rFonts w:ascii="David" w:hAnsi="David" w:cs="David" w:hint="cs"/>
          <w:b/>
          <w:bCs/>
          <w:sz w:val="24"/>
          <w:szCs w:val="24"/>
          <w:rtl/>
        </w:rPr>
        <w:t>איטח</w:t>
      </w:r>
      <w:r>
        <w:rPr>
          <w:rFonts w:ascii="David" w:hAnsi="David" w:cs="David" w:hint="cs"/>
          <w:b/>
          <w:bCs/>
          <w:sz w:val="24"/>
          <w:szCs w:val="24"/>
          <w:rtl/>
        </w:rPr>
        <w:t xml:space="preserve">.  </w:t>
      </w:r>
      <w:r w:rsidR="00CB30D1">
        <w:rPr>
          <w:rFonts w:ascii="David" w:hAnsi="David" w:cs="David" w:hint="cs"/>
          <w:sz w:val="24"/>
          <w:szCs w:val="24"/>
          <w:rtl/>
        </w:rPr>
        <w:t xml:space="preserve">עולה </w:t>
      </w:r>
      <w:r>
        <w:rPr>
          <w:rFonts w:ascii="David" w:hAnsi="David" w:cs="David" w:hint="cs"/>
          <w:sz w:val="24"/>
          <w:szCs w:val="24"/>
          <w:rtl/>
        </w:rPr>
        <w:t>מפסק הדין שמדובר בנסיבות שונות מעניינ</w:t>
      </w:r>
      <w:r w:rsidR="00CB30D1">
        <w:rPr>
          <w:rFonts w:ascii="David" w:hAnsi="David" w:cs="David" w:hint="cs"/>
          <w:sz w:val="24"/>
          <w:szCs w:val="24"/>
          <w:rtl/>
        </w:rPr>
        <w:t>ינ</w:t>
      </w:r>
      <w:r>
        <w:rPr>
          <w:rFonts w:ascii="David" w:hAnsi="David" w:cs="David" w:hint="cs"/>
          <w:sz w:val="24"/>
          <w:szCs w:val="24"/>
          <w:rtl/>
        </w:rPr>
        <w:t xml:space="preserve">ו. שם החוקר כן ביקש קבלת חומר מצולם מזירת האירוע מושא פסק הדין.  אולם החוקר לא קיבל שיתוף פעולה מבעל המצלמות. קיימת הערת בית המשפט בפסק הדין שהיה על החוקר לחזור לבעל המצלמות בבקשה חוזרת, דבר שלא נעשה. עם זאת החוקר עשה המוטל עליו ואין שום ביטחון שבעל המצלמות היה משתף פעולה. כמו כן לא היה מדובר במצב של "גרסה מול גרסה". </w:t>
      </w:r>
    </w:p>
    <w:p w:rsidR="003D05E6" w:rsidRDefault="003D05E6" w:rsidP="003D05E6">
      <w:pPr>
        <w:pStyle w:val="ad"/>
        <w:bidi/>
        <w:spacing w:before="240" w:line="360" w:lineRule="auto"/>
        <w:rPr>
          <w:rFonts w:ascii="David" w:hAnsi="David" w:cs="David"/>
          <w:sz w:val="24"/>
          <w:szCs w:val="24"/>
        </w:rPr>
      </w:pPr>
    </w:p>
    <w:p w:rsidR="003D05E6" w:rsidRDefault="003D05E6" w:rsidP="003D05E6">
      <w:pPr>
        <w:pStyle w:val="ad"/>
        <w:numPr>
          <w:ilvl w:val="0"/>
          <w:numId w:val="1"/>
        </w:numPr>
        <w:bidi/>
        <w:spacing w:before="240" w:line="360" w:lineRule="auto"/>
        <w:rPr>
          <w:rFonts w:ascii="David" w:hAnsi="David" w:cs="David"/>
          <w:sz w:val="24"/>
          <w:szCs w:val="24"/>
        </w:rPr>
      </w:pPr>
      <w:r w:rsidRPr="00D577E9">
        <w:rPr>
          <w:rFonts w:ascii="David" w:hAnsi="David" w:cs="David" w:hint="cs"/>
          <w:sz w:val="24"/>
          <w:szCs w:val="24"/>
          <w:rtl/>
        </w:rPr>
        <w:t xml:space="preserve">בע"פ 5019/09 </w:t>
      </w:r>
      <w:r w:rsidRPr="00D577E9">
        <w:rPr>
          <w:rFonts w:ascii="David" w:hAnsi="David" w:cs="David" w:hint="cs"/>
          <w:b/>
          <w:bCs/>
          <w:sz w:val="24"/>
          <w:szCs w:val="24"/>
          <w:rtl/>
        </w:rPr>
        <w:t>דביר חליווה נ. מ"י</w:t>
      </w:r>
      <w:r w:rsidRPr="00D577E9">
        <w:rPr>
          <w:rFonts w:ascii="David" w:hAnsi="David" w:cs="David" w:hint="cs"/>
          <w:sz w:val="24"/>
          <w:szCs w:val="24"/>
          <w:rtl/>
        </w:rPr>
        <w:t xml:space="preserve"> (פורסם 20.8.13) פיסקה 46 נקבע:</w:t>
      </w:r>
    </w:p>
    <w:p w:rsidR="003D05E6" w:rsidRPr="00D577E9" w:rsidRDefault="003D05E6" w:rsidP="003D05E6">
      <w:pPr>
        <w:pStyle w:val="ad"/>
        <w:spacing w:line="360" w:lineRule="auto"/>
        <w:rPr>
          <w:rFonts w:ascii="David" w:hAnsi="David" w:cs="David"/>
          <w:sz w:val="24"/>
          <w:szCs w:val="24"/>
          <w:rtl/>
        </w:rPr>
      </w:pPr>
    </w:p>
    <w:p w:rsidR="003D05E6" w:rsidRDefault="003D05E6" w:rsidP="003D05E6">
      <w:pPr>
        <w:pStyle w:val="ad"/>
        <w:bidi/>
        <w:spacing w:before="240" w:line="360" w:lineRule="auto"/>
        <w:ind w:left="1440"/>
        <w:rPr>
          <w:rFonts w:ascii="David" w:hAnsi="David" w:cs="David"/>
          <w:b/>
          <w:bCs/>
          <w:sz w:val="24"/>
          <w:szCs w:val="24"/>
          <w:u w:val="single"/>
          <w:rtl/>
        </w:rPr>
      </w:pPr>
      <w:r w:rsidRPr="008F453A">
        <w:rPr>
          <w:rFonts w:ascii="David" w:hAnsi="David" w:cs="David"/>
          <w:b/>
          <w:bCs/>
          <w:sz w:val="24"/>
          <w:szCs w:val="24"/>
          <w:rtl/>
        </w:rPr>
        <w:t xml:space="preserve">המסלול "הטבעי" להתמודדות עם מחדלי חקירה, כפי שעולה מפסקי הדין של בית משפט זה, היא באמצעות הצבת ה-"אין", לצד ה-"יש", כלומר: הערכת משקלה ההיפותטי של הראיה שלא נאספה, לעומת מכלול הראיות הקיים (ראו: </w:t>
      </w:r>
      <w:r>
        <w:rPr>
          <w:rFonts w:ascii="David" w:hAnsi="David" w:cs="David" w:hint="cs"/>
          <w:b/>
          <w:bCs/>
          <w:sz w:val="24"/>
          <w:szCs w:val="24"/>
          <w:rtl/>
        </w:rPr>
        <w:t>ע"פ 9908/04</w:t>
      </w:r>
      <w:r w:rsidRPr="008F453A">
        <w:rPr>
          <w:rFonts w:ascii="David" w:hAnsi="David" w:cs="David"/>
          <w:b/>
          <w:bCs/>
          <w:sz w:val="24"/>
          <w:szCs w:val="24"/>
          <w:rtl/>
        </w:rPr>
        <w:t xml:space="preserve"> </w:t>
      </w:r>
      <w:r w:rsidRPr="008F453A">
        <w:rPr>
          <w:rFonts w:ascii="David" w:hAnsi="David" w:cs="David"/>
          <w:b/>
          <w:bCs/>
          <w:sz w:val="24"/>
          <w:szCs w:val="24"/>
          <w:u w:val="single"/>
          <w:rtl/>
        </w:rPr>
        <w:t>נסראלדין נ' מדינת ישראל</w:t>
      </w:r>
      <w:r w:rsidRPr="008F453A">
        <w:rPr>
          <w:rFonts w:ascii="David" w:hAnsi="David" w:cs="David"/>
          <w:b/>
          <w:bCs/>
          <w:sz w:val="24"/>
          <w:szCs w:val="24"/>
          <w:rtl/>
        </w:rPr>
        <w:t xml:space="preserve"> [פורסם בנבו] (31.07.2006), בפיסקה 22). כאשר מגיע בית המשפט למסקנה כי חרף הראיות שנאספו, ואשר מצביעות לכאורה על אשמת הנאשם, קיימת עדיין אפשרות כי הראיה שלא נאספה היתה מעלה ספק סביר באשמתו – או אז הדין הוא שיש להורות על  זיכוי מחמת הספק (ראו: </w:t>
      </w:r>
      <w:r>
        <w:rPr>
          <w:rFonts w:ascii="David" w:hAnsi="David" w:cs="David" w:hint="cs"/>
          <w:b/>
          <w:bCs/>
          <w:sz w:val="24"/>
          <w:szCs w:val="24"/>
          <w:rtl/>
        </w:rPr>
        <w:t xml:space="preserve">ע"פ 1056/03 </w:t>
      </w:r>
      <w:r w:rsidRPr="008F453A">
        <w:rPr>
          <w:rFonts w:ascii="David" w:hAnsi="David" w:cs="David"/>
          <w:b/>
          <w:bCs/>
          <w:sz w:val="24"/>
          <w:szCs w:val="24"/>
          <w:u w:val="single"/>
          <w:rtl/>
        </w:rPr>
        <w:t>בשירוב נ' מדינת ישראל</w:t>
      </w:r>
      <w:r w:rsidRPr="008F453A">
        <w:rPr>
          <w:rFonts w:ascii="David" w:hAnsi="David" w:cs="David"/>
          <w:b/>
          <w:bCs/>
          <w:sz w:val="24"/>
          <w:szCs w:val="24"/>
          <w:rtl/>
        </w:rPr>
        <w:t xml:space="preserve"> [פורסם בנבו] (04.06.2006)). המסלול המותווה על ידי כאן יש בו הדגשים נוספים: לשיטתי, השאלה המכרעת איננה האם יש בכוחה של הראיה שלא נאספה כדי להקים ספק סביר באשמתו של המערער, אלא האם עוצמת המחדל שבאי-אסיפתה חמור עד כדי כך שניתן לומר שנתקפחה זכותו החוקתית של המערער למשפט הוגן כדי כך שיש הצדקה לזיכויו (זהו פן נוסף של ה-"הגנה מן הצדק"). ודוק: מסלול זה איננו בבחינת "יש מאין" תרתי משמע, וכבר מצאנו מקרים שבהם הלכו בו הערכאות המבררות (ראו: נקדימון, בעמ' 440-439). אוסיף כי לעת הזו אינני רואה לנכון להציב גבולות מוגדרים ביחס למצבים, אשר יבססו טענה של קיפוח הזכות להליך הוגן מחמת מחדלי חקירה, והדברים יתבררו בעתיד בפסיקותיו של בית משפט זה. יחד עם זאת אדגיש כי ראוי שנלך בנתיב זה רק במקרים חריגים ונדירים, כאשר ברור שמדובר במצבים, שבהם לא ניתן כמעט בשום דרך להצדיק את אופן התנהלותן של רשויות החקירה. </w:t>
      </w:r>
      <w:r w:rsidRPr="008F453A">
        <w:rPr>
          <w:rFonts w:ascii="David" w:hAnsi="David" w:cs="David"/>
          <w:b/>
          <w:bCs/>
          <w:sz w:val="24"/>
          <w:szCs w:val="24"/>
          <w:rtl/>
        </w:rPr>
        <w:lastRenderedPageBreak/>
        <w:t xml:space="preserve">לצורך ההכרעה בערעור שבפנינו, די איפוא לקבוע את הדברים הבאים: </w:t>
      </w:r>
      <w:r w:rsidRPr="00B900A8">
        <w:rPr>
          <w:rFonts w:ascii="David" w:hAnsi="David" w:cs="David"/>
          <w:b/>
          <w:bCs/>
          <w:sz w:val="24"/>
          <w:szCs w:val="24"/>
          <w:u w:val="single"/>
          <w:rtl/>
        </w:rPr>
        <w:t>כאשר המשטרה חוקרת תלונה נגד אדם, וכאשר מתוכנה ומבירורה של התלונה מסתבר כי ההכרעה בבית המשפט תתבסס על "גירסה מול גירסה", וכאשר נמצא כי ישנם עדים ישירים לאירוע – המשטרה חייבת לחקור את העדים הנ"ל, כל עוד הדבר איננו כרוך במאמץ בלתי סביר. הימנעות מזימונם ומחקירתם של עדים בנסיבות אלה עלולה לעלות כדי מחדל חקירתי של ממש, המקפח את זכותו של הנאשם למשפט הוגן, ובכך להצדיק את זיכויו מן האישום הרלבנטי.</w:t>
      </w:r>
      <w:r>
        <w:rPr>
          <w:rFonts w:ascii="David" w:hAnsi="David" w:cs="David" w:hint="cs"/>
          <w:b/>
          <w:bCs/>
          <w:sz w:val="24"/>
          <w:szCs w:val="24"/>
          <w:u w:val="single"/>
          <w:rtl/>
        </w:rPr>
        <w:t xml:space="preserve"> (המודגש אינו במקור פ.ש). </w:t>
      </w:r>
    </w:p>
    <w:p w:rsidR="003D05E6" w:rsidRDefault="003D05E6" w:rsidP="003D05E6">
      <w:pPr>
        <w:spacing w:before="240" w:line="360" w:lineRule="auto"/>
        <w:ind w:left="720"/>
        <w:rPr>
          <w:rFonts w:ascii="David" w:hAnsi="David"/>
          <w:rtl/>
        </w:rPr>
      </w:pPr>
      <w:r w:rsidRPr="00DF7B6F">
        <w:rPr>
          <w:rFonts w:ascii="David" w:hAnsi="David" w:hint="cs"/>
          <w:rtl/>
        </w:rPr>
        <w:t>בדומה</w:t>
      </w:r>
      <w:r w:rsidR="00823131">
        <w:rPr>
          <w:rFonts w:ascii="David" w:hAnsi="David" w:hint="cs"/>
          <w:rtl/>
        </w:rPr>
        <w:t>,</w:t>
      </w:r>
      <w:r w:rsidRPr="00DF7B6F">
        <w:rPr>
          <w:rFonts w:ascii="David" w:hAnsi="David" w:hint="cs"/>
          <w:rtl/>
        </w:rPr>
        <w:t xml:space="preserve"> בעניינו של הנאשם מדובר מחד ב"גרסה מול גרסה" ביחס לעבירה הראשונה, להבדיל מהעבירה השנייה שהשוטר הינו עד למעשה המיוחס לנאשם בס' 3 לכתב האישום.</w:t>
      </w:r>
    </w:p>
    <w:p w:rsidR="003D05E6" w:rsidRPr="00A11CAB" w:rsidRDefault="003D05E6" w:rsidP="00F9252A">
      <w:pPr>
        <w:pStyle w:val="ad"/>
        <w:numPr>
          <w:ilvl w:val="0"/>
          <w:numId w:val="1"/>
        </w:numPr>
        <w:bidi/>
        <w:spacing w:before="240" w:line="360" w:lineRule="auto"/>
        <w:rPr>
          <w:rFonts w:ascii="David" w:hAnsi="David" w:cs="David"/>
          <w:b/>
          <w:bCs/>
          <w:sz w:val="24"/>
          <w:szCs w:val="24"/>
        </w:rPr>
      </w:pPr>
      <w:r>
        <w:rPr>
          <w:rFonts w:ascii="David" w:hAnsi="David" w:cs="David" w:hint="cs"/>
          <w:sz w:val="24"/>
          <w:szCs w:val="24"/>
          <w:rtl/>
        </w:rPr>
        <w:t xml:space="preserve">הכלל הינו שיש לבחון "מחדל חקירה" במידה של קיפוח הגנתו של נאשם היורד לשורשו של עניין (ראה: ע"פ 173/88 </w:t>
      </w:r>
      <w:r w:rsidRPr="00882A0D">
        <w:rPr>
          <w:rFonts w:ascii="David" w:hAnsi="David" w:cs="David" w:hint="cs"/>
          <w:b/>
          <w:bCs/>
          <w:sz w:val="24"/>
          <w:szCs w:val="24"/>
          <w:rtl/>
        </w:rPr>
        <w:t>אסרף נ. מ"י</w:t>
      </w:r>
      <w:r>
        <w:rPr>
          <w:rFonts w:ascii="David" w:hAnsi="David" w:cs="David" w:hint="cs"/>
          <w:sz w:val="24"/>
          <w:szCs w:val="24"/>
          <w:rtl/>
        </w:rPr>
        <w:t xml:space="preserve"> פ"ד(1) 785, 792 (1990).  מאז קיימת הרחבת "הגנה מן הצדק" כטענה מקדמית.  משמע, במקרה של "מחדל חקירה" יתכן מקרה שלא ניתן לרפא את המחדל המקפח ופוגע באופן מהותי עד שורשו של עניין: האם נפגעת יכולת הנאשם להגן על עצמו כפי שנדרש בקיום הליך רא</w:t>
      </w:r>
      <w:r w:rsidR="00CB30D1">
        <w:rPr>
          <w:rFonts w:ascii="David" w:hAnsi="David" w:cs="David" w:hint="cs"/>
          <w:sz w:val="24"/>
          <w:szCs w:val="24"/>
          <w:rtl/>
        </w:rPr>
        <w:t>וי</w:t>
      </w:r>
      <w:r w:rsidR="00F9252A">
        <w:rPr>
          <w:rFonts w:ascii="David" w:hAnsi="David" w:cs="David" w:hint="cs"/>
          <w:sz w:val="24"/>
          <w:szCs w:val="24"/>
          <w:rtl/>
        </w:rPr>
        <w:t xml:space="preserve"> והוגן?</w:t>
      </w:r>
      <w:r>
        <w:rPr>
          <w:rFonts w:ascii="David" w:hAnsi="David" w:cs="David" w:hint="cs"/>
          <w:sz w:val="24"/>
          <w:szCs w:val="24"/>
          <w:rtl/>
        </w:rPr>
        <w:t xml:space="preserve"> כאמור בפסק דין </w:t>
      </w:r>
      <w:r w:rsidRPr="00B900A8">
        <w:rPr>
          <w:rFonts w:ascii="David" w:hAnsi="David" w:cs="David" w:hint="cs"/>
          <w:b/>
          <w:bCs/>
          <w:sz w:val="24"/>
          <w:szCs w:val="24"/>
          <w:rtl/>
        </w:rPr>
        <w:t>חילווה</w:t>
      </w:r>
      <w:r w:rsidR="00F9252A">
        <w:rPr>
          <w:rFonts w:ascii="David" w:hAnsi="David" w:cs="David" w:hint="cs"/>
          <w:b/>
          <w:bCs/>
          <w:sz w:val="24"/>
          <w:szCs w:val="24"/>
          <w:rtl/>
        </w:rPr>
        <w:t>,</w:t>
      </w:r>
      <w:r>
        <w:rPr>
          <w:rFonts w:ascii="David" w:hAnsi="David" w:cs="David" w:hint="cs"/>
          <w:b/>
          <w:bCs/>
          <w:sz w:val="24"/>
          <w:szCs w:val="24"/>
          <w:rtl/>
        </w:rPr>
        <w:t xml:space="preserve"> </w:t>
      </w:r>
      <w:r>
        <w:rPr>
          <w:rFonts w:ascii="David" w:hAnsi="David" w:cs="David" w:hint="cs"/>
          <w:sz w:val="24"/>
          <w:szCs w:val="24"/>
          <w:rtl/>
        </w:rPr>
        <w:t xml:space="preserve">במקרה של "גרסה מול גרסה" ניכר שלא ניתן לרפא פגיעת </w:t>
      </w:r>
      <w:r w:rsidR="00F9252A">
        <w:rPr>
          <w:rFonts w:ascii="David" w:hAnsi="David" w:cs="David" w:hint="cs"/>
          <w:sz w:val="24"/>
          <w:szCs w:val="24"/>
          <w:rtl/>
        </w:rPr>
        <w:t>ב</w:t>
      </w:r>
      <w:r>
        <w:rPr>
          <w:rFonts w:ascii="David" w:hAnsi="David" w:cs="David" w:hint="cs"/>
          <w:sz w:val="24"/>
          <w:szCs w:val="24"/>
          <w:rtl/>
        </w:rPr>
        <w:t xml:space="preserve">זכות </w:t>
      </w:r>
      <w:r w:rsidR="00F9252A">
        <w:rPr>
          <w:rFonts w:ascii="David" w:hAnsi="David" w:cs="David" w:hint="cs"/>
          <w:sz w:val="24"/>
          <w:szCs w:val="24"/>
          <w:rtl/>
        </w:rPr>
        <w:t>ל</w:t>
      </w:r>
      <w:r>
        <w:rPr>
          <w:rFonts w:ascii="David" w:hAnsi="David" w:cs="David" w:hint="cs"/>
          <w:sz w:val="24"/>
          <w:szCs w:val="24"/>
          <w:rtl/>
        </w:rPr>
        <w:t>חקירה נגדית של הנאשם. נשארת בתעלומה של "מה מתועד על ידי המצלמות"?  כאמור המבחן אינו הש</w:t>
      </w:r>
      <w:r w:rsidR="00F9252A">
        <w:rPr>
          <w:rFonts w:ascii="David" w:hAnsi="David" w:cs="David" w:hint="cs"/>
          <w:sz w:val="24"/>
          <w:szCs w:val="24"/>
          <w:rtl/>
        </w:rPr>
        <w:t>ע</w:t>
      </w:r>
      <w:r>
        <w:rPr>
          <w:rFonts w:ascii="David" w:hAnsi="David" w:cs="David" w:hint="cs"/>
          <w:sz w:val="24"/>
          <w:szCs w:val="24"/>
          <w:rtl/>
        </w:rPr>
        <w:t>רה מה מתועד ואם בכלל, אלא האם נמנע</w:t>
      </w:r>
      <w:r w:rsidR="00F9252A">
        <w:rPr>
          <w:rFonts w:ascii="David" w:hAnsi="David" w:cs="David" w:hint="cs"/>
          <w:sz w:val="24"/>
          <w:szCs w:val="24"/>
          <w:rtl/>
        </w:rPr>
        <w:t>ה</w:t>
      </w:r>
      <w:r>
        <w:rPr>
          <w:rFonts w:ascii="David" w:hAnsi="David" w:cs="David" w:hint="cs"/>
          <w:sz w:val="24"/>
          <w:szCs w:val="24"/>
          <w:rtl/>
        </w:rPr>
        <w:t xml:space="preserve"> מהנאשם זכות להביא ראיה משמעותית ובעלת </w:t>
      </w:r>
      <w:r w:rsidR="002F3B38">
        <w:rPr>
          <w:rFonts w:ascii="David" w:hAnsi="David" w:cs="David" w:hint="cs"/>
          <w:sz w:val="24"/>
          <w:szCs w:val="24"/>
          <w:rtl/>
        </w:rPr>
        <w:t>יכולת לעורר ספק הסביר הנדרש לזיכ</w:t>
      </w:r>
      <w:r>
        <w:rPr>
          <w:rFonts w:ascii="David" w:hAnsi="David" w:cs="David" w:hint="cs"/>
          <w:sz w:val="24"/>
          <w:szCs w:val="24"/>
          <w:rtl/>
        </w:rPr>
        <w:t xml:space="preserve">וי. </w:t>
      </w:r>
    </w:p>
    <w:p w:rsidR="003D05E6" w:rsidRPr="00A11CAB" w:rsidRDefault="003D05E6" w:rsidP="003D05E6">
      <w:pPr>
        <w:pStyle w:val="ad"/>
        <w:bidi/>
        <w:spacing w:before="240" w:line="360" w:lineRule="auto"/>
        <w:rPr>
          <w:rFonts w:ascii="David" w:hAnsi="David" w:cs="David"/>
          <w:b/>
          <w:bCs/>
          <w:sz w:val="24"/>
          <w:szCs w:val="24"/>
        </w:rPr>
      </w:pPr>
    </w:p>
    <w:p w:rsidR="003D05E6" w:rsidRPr="009E0FE2" w:rsidRDefault="003D05E6" w:rsidP="00F9252A">
      <w:pPr>
        <w:pStyle w:val="ad"/>
        <w:numPr>
          <w:ilvl w:val="0"/>
          <w:numId w:val="1"/>
        </w:numPr>
        <w:bidi/>
        <w:spacing w:before="240" w:line="360" w:lineRule="auto"/>
        <w:rPr>
          <w:rFonts w:ascii="David" w:hAnsi="David" w:cs="David"/>
          <w:b/>
          <w:bCs/>
          <w:sz w:val="24"/>
          <w:szCs w:val="24"/>
        </w:rPr>
      </w:pPr>
      <w:r>
        <w:rPr>
          <w:rFonts w:ascii="David" w:hAnsi="David" w:cs="David" w:hint="cs"/>
          <w:sz w:val="24"/>
          <w:szCs w:val="24"/>
          <w:rtl/>
        </w:rPr>
        <w:t xml:space="preserve">עם זאת על ב"כ הנאשם להביא ראשית ראיה שהיה "חומר חקירה" שלא נאסף על ידי </w:t>
      </w:r>
      <w:r w:rsidR="00F9252A">
        <w:rPr>
          <w:rFonts w:ascii="David" w:hAnsi="David" w:cs="David" w:hint="cs"/>
          <w:sz w:val="24"/>
          <w:szCs w:val="24"/>
          <w:rtl/>
        </w:rPr>
        <w:t>ה</w:t>
      </w:r>
      <w:r>
        <w:rPr>
          <w:rFonts w:ascii="David" w:hAnsi="David" w:cs="David" w:hint="cs"/>
          <w:sz w:val="24"/>
          <w:szCs w:val="24"/>
          <w:rtl/>
        </w:rPr>
        <w:t>רשות החוקרת</w:t>
      </w:r>
      <w:r w:rsidR="00F9252A">
        <w:rPr>
          <w:rFonts w:ascii="David" w:hAnsi="David" w:cs="David" w:hint="cs"/>
          <w:sz w:val="24"/>
          <w:szCs w:val="24"/>
          <w:rtl/>
        </w:rPr>
        <w:t>,</w:t>
      </w:r>
      <w:r>
        <w:rPr>
          <w:rFonts w:ascii="David" w:hAnsi="David" w:cs="David" w:hint="cs"/>
          <w:sz w:val="24"/>
          <w:szCs w:val="24"/>
          <w:rtl/>
        </w:rPr>
        <w:t xml:space="preserve">  משמע שהיו מוצב</w:t>
      </w:r>
      <w:r w:rsidR="00F9252A">
        <w:rPr>
          <w:rFonts w:ascii="David" w:hAnsi="David" w:cs="David" w:hint="cs"/>
          <w:sz w:val="24"/>
          <w:szCs w:val="24"/>
          <w:rtl/>
        </w:rPr>
        <w:t>ות</w:t>
      </w:r>
      <w:r>
        <w:rPr>
          <w:rFonts w:ascii="David" w:hAnsi="David" w:cs="David" w:hint="cs"/>
          <w:sz w:val="24"/>
          <w:szCs w:val="24"/>
          <w:rtl/>
        </w:rPr>
        <w:t xml:space="preserve"> מצלמות באזור </w:t>
      </w:r>
      <w:r w:rsidR="00F9252A">
        <w:rPr>
          <w:rFonts w:ascii="David" w:hAnsi="David" w:cs="David" w:hint="cs"/>
          <w:sz w:val="24"/>
          <w:szCs w:val="24"/>
          <w:rtl/>
        </w:rPr>
        <w:t>ה</w:t>
      </w:r>
      <w:r>
        <w:rPr>
          <w:rFonts w:ascii="David" w:hAnsi="David" w:cs="David" w:hint="cs"/>
          <w:sz w:val="24"/>
          <w:szCs w:val="24"/>
          <w:rtl/>
        </w:rPr>
        <w:t>מכוונות לזירת האירוע מושא כתב האישום ובעלות יכולת לתעד באופן מצולם את האירוע. לאחר הבאת ראשית ראיה ניתן לבחון האם קיים "מחדל חקירה" ופגיעה בזכ</w:t>
      </w:r>
      <w:r w:rsidR="002F3B38">
        <w:rPr>
          <w:rFonts w:ascii="David" w:hAnsi="David" w:cs="David" w:hint="cs"/>
          <w:sz w:val="24"/>
          <w:szCs w:val="24"/>
          <w:rtl/>
        </w:rPr>
        <w:t>ו</w:t>
      </w:r>
      <w:r>
        <w:rPr>
          <w:rFonts w:ascii="David" w:hAnsi="David" w:cs="David" w:hint="cs"/>
          <w:sz w:val="24"/>
          <w:szCs w:val="24"/>
          <w:rtl/>
        </w:rPr>
        <w:t>יות הנאשם להליך הוגן.   אין בתגובת המאשימה מיום 8.4.24 דבר על תקינות המצלמות ביום האירוע ואם המצלמות היו מכוונות לזירה ובעלות יכולת לתעד האירוע בזמן אמת.</w:t>
      </w:r>
    </w:p>
    <w:p w:rsidR="003D05E6" w:rsidRDefault="003D05E6" w:rsidP="003D05E6">
      <w:pPr>
        <w:spacing w:before="240" w:line="360" w:lineRule="auto"/>
        <w:rPr>
          <w:rFonts w:ascii="David" w:hAnsi="David"/>
          <w:b/>
          <w:bCs/>
          <w:rtl/>
        </w:rPr>
      </w:pPr>
      <w:r>
        <w:rPr>
          <w:rFonts w:ascii="David" w:hAnsi="David" w:hint="cs"/>
          <w:b/>
          <w:bCs/>
          <w:rtl/>
        </w:rPr>
        <w:t>מכלל אל הפרט</w:t>
      </w:r>
    </w:p>
    <w:p w:rsidR="003D05E6" w:rsidRDefault="003D05E6" w:rsidP="008F4155">
      <w:pPr>
        <w:pStyle w:val="ad"/>
        <w:numPr>
          <w:ilvl w:val="0"/>
          <w:numId w:val="1"/>
        </w:numPr>
        <w:bidi/>
        <w:spacing w:before="240" w:line="360" w:lineRule="auto"/>
        <w:rPr>
          <w:rFonts w:ascii="David" w:hAnsi="David" w:cs="David"/>
          <w:sz w:val="24"/>
          <w:szCs w:val="24"/>
        </w:rPr>
      </w:pPr>
      <w:r>
        <w:rPr>
          <w:rFonts w:ascii="David" w:hAnsi="David" w:cs="David" w:hint="cs"/>
          <w:sz w:val="24"/>
          <w:szCs w:val="24"/>
          <w:rtl/>
        </w:rPr>
        <w:t xml:space="preserve"> באופן כללי יש ממש בטענת ב"כ הנאשם שאין דרך לרפא פגיעה ביכולת הנאשם להקים הגנתו עקב מחדל חקירה מצד </w:t>
      </w:r>
      <w:r w:rsidR="00F9252A">
        <w:rPr>
          <w:rFonts w:ascii="David" w:hAnsi="David" w:cs="David" w:hint="cs"/>
          <w:sz w:val="24"/>
          <w:szCs w:val="24"/>
          <w:rtl/>
        </w:rPr>
        <w:t>ה</w:t>
      </w:r>
      <w:r>
        <w:rPr>
          <w:rFonts w:ascii="David" w:hAnsi="David" w:cs="David" w:hint="cs"/>
          <w:sz w:val="24"/>
          <w:szCs w:val="24"/>
          <w:rtl/>
        </w:rPr>
        <w:t>רשות החוקרת.  היה מקום בתחילת החקירה</w:t>
      </w:r>
      <w:r w:rsidR="00823131">
        <w:rPr>
          <w:rFonts w:ascii="David" w:hAnsi="David" w:cs="David" w:hint="cs"/>
          <w:sz w:val="24"/>
          <w:szCs w:val="24"/>
          <w:rtl/>
        </w:rPr>
        <w:t>,</w:t>
      </w:r>
      <w:r>
        <w:rPr>
          <w:rFonts w:ascii="David" w:hAnsi="David" w:cs="David" w:hint="cs"/>
          <w:sz w:val="24"/>
          <w:szCs w:val="24"/>
          <w:rtl/>
        </w:rPr>
        <w:t xml:space="preserve"> בין אם מדובר בתלונת נאשם ובין מדובר בתלונת המתלוננים לערוך חיפוש לקיום תיעוד מצולם </w:t>
      </w:r>
      <w:r>
        <w:rPr>
          <w:rFonts w:ascii="David" w:hAnsi="David" w:cs="David" w:hint="cs"/>
          <w:sz w:val="24"/>
          <w:szCs w:val="24"/>
          <w:rtl/>
        </w:rPr>
        <w:lastRenderedPageBreak/>
        <w:t xml:space="preserve">של האירוע. בימים אלו אמור להיות א' </w:t>
      </w:r>
      <w:r w:rsidR="00F9252A">
        <w:rPr>
          <w:rFonts w:ascii="David" w:hAnsi="David" w:cs="David" w:hint="cs"/>
          <w:sz w:val="24"/>
          <w:szCs w:val="24"/>
          <w:rtl/>
        </w:rPr>
        <w:t xml:space="preserve">- </w:t>
      </w:r>
      <w:r>
        <w:rPr>
          <w:rFonts w:ascii="David" w:hAnsi="David" w:cs="David" w:hint="cs"/>
          <w:sz w:val="24"/>
          <w:szCs w:val="24"/>
          <w:rtl/>
        </w:rPr>
        <w:t>ב' לעריכת חקירת האירוע להתחיל בחיפוש אפשרות של תיעוד האירוע על ידי מצלמות במקום.   פרטי האירוע כפי שעול</w:t>
      </w:r>
      <w:r w:rsidR="00F9252A">
        <w:rPr>
          <w:rFonts w:ascii="David" w:hAnsi="David" w:cs="David" w:hint="cs"/>
          <w:sz w:val="24"/>
          <w:szCs w:val="24"/>
          <w:rtl/>
        </w:rPr>
        <w:t>ים</w:t>
      </w:r>
      <w:r>
        <w:rPr>
          <w:rFonts w:ascii="David" w:hAnsi="David" w:cs="David" w:hint="cs"/>
          <w:sz w:val="24"/>
          <w:szCs w:val="24"/>
          <w:rtl/>
        </w:rPr>
        <w:t xml:space="preserve"> מכתב האישום הי</w:t>
      </w:r>
      <w:r w:rsidR="00F9252A">
        <w:rPr>
          <w:rFonts w:ascii="David" w:hAnsi="David" w:cs="David" w:hint="cs"/>
          <w:sz w:val="24"/>
          <w:szCs w:val="24"/>
          <w:rtl/>
        </w:rPr>
        <w:t>ו</w:t>
      </w:r>
      <w:r>
        <w:rPr>
          <w:rFonts w:ascii="David" w:hAnsi="David" w:cs="David" w:hint="cs"/>
          <w:sz w:val="24"/>
          <w:szCs w:val="24"/>
          <w:rtl/>
        </w:rPr>
        <w:t xml:space="preserve"> מחייב</w:t>
      </w:r>
      <w:r w:rsidR="00F9252A">
        <w:rPr>
          <w:rFonts w:ascii="David" w:hAnsi="David" w:cs="David" w:hint="cs"/>
          <w:sz w:val="24"/>
          <w:szCs w:val="24"/>
          <w:rtl/>
        </w:rPr>
        <w:t>ים</w:t>
      </w:r>
      <w:r>
        <w:rPr>
          <w:rFonts w:ascii="David" w:hAnsi="David" w:cs="David" w:hint="cs"/>
          <w:sz w:val="24"/>
          <w:szCs w:val="24"/>
          <w:rtl/>
        </w:rPr>
        <w:t xml:space="preserve"> </w:t>
      </w:r>
      <w:r w:rsidR="00F9252A">
        <w:rPr>
          <w:rFonts w:ascii="David" w:hAnsi="David" w:cs="David" w:hint="cs"/>
          <w:sz w:val="24"/>
          <w:szCs w:val="24"/>
          <w:rtl/>
        </w:rPr>
        <w:t>את הר</w:t>
      </w:r>
      <w:r>
        <w:rPr>
          <w:rFonts w:ascii="David" w:hAnsi="David" w:cs="David" w:hint="cs"/>
          <w:sz w:val="24"/>
          <w:szCs w:val="24"/>
          <w:rtl/>
        </w:rPr>
        <w:t>שות החוקרת במשטרה לבחון כל אפשרות של תיעוד ווידיאו.    כך לא נעשה.  עם זאת לא הובא</w:t>
      </w:r>
      <w:r w:rsidR="00823131">
        <w:rPr>
          <w:rFonts w:ascii="David" w:hAnsi="David" w:cs="David" w:hint="cs"/>
          <w:sz w:val="24"/>
          <w:szCs w:val="24"/>
          <w:rtl/>
        </w:rPr>
        <w:t>ה</w:t>
      </w:r>
      <w:r>
        <w:rPr>
          <w:rFonts w:ascii="David" w:hAnsi="David" w:cs="David" w:hint="cs"/>
          <w:sz w:val="24"/>
          <w:szCs w:val="24"/>
          <w:rtl/>
        </w:rPr>
        <w:t xml:space="preserve"> בפני בית המשפט ראיה מטעם ב"כ הנאשם על עצם קיום מצלמות שביכולתן בזמן אמת לתעד את האירוע מושא כתב האישום. מוטל על הנאשם נטל הבאת ראשית ראיה על עצם קיום מצלמות בעלות יכולת תיעוד מצולם של האירוע בטרם העברת הנטל הוכחה על המאשימה על הנעשה כדי לאסוף חומר חקירה. כל האמור חל על אישום הראשון בכתב האישום. </w:t>
      </w:r>
    </w:p>
    <w:p w:rsidR="003D05E6" w:rsidRDefault="003D05E6" w:rsidP="003D05E6">
      <w:pPr>
        <w:pStyle w:val="ad"/>
        <w:bidi/>
        <w:spacing w:before="240" w:line="360" w:lineRule="auto"/>
        <w:rPr>
          <w:rFonts w:ascii="David" w:hAnsi="David" w:cs="David"/>
          <w:sz w:val="24"/>
          <w:szCs w:val="24"/>
        </w:rPr>
      </w:pPr>
    </w:p>
    <w:p w:rsidR="003D05E6" w:rsidRPr="00DF7B6F" w:rsidRDefault="003D05E6" w:rsidP="008F4155">
      <w:pPr>
        <w:pStyle w:val="ad"/>
        <w:numPr>
          <w:ilvl w:val="0"/>
          <w:numId w:val="1"/>
        </w:numPr>
        <w:bidi/>
        <w:spacing w:before="240" w:line="360" w:lineRule="auto"/>
        <w:rPr>
          <w:rFonts w:ascii="David" w:hAnsi="David" w:cs="David"/>
          <w:b/>
          <w:bCs/>
          <w:sz w:val="24"/>
          <w:szCs w:val="24"/>
          <w:rtl/>
        </w:rPr>
      </w:pPr>
      <w:r w:rsidRPr="00DF7B6F">
        <w:rPr>
          <w:rFonts w:ascii="David" w:hAnsi="David" w:cs="David" w:hint="cs"/>
          <w:sz w:val="24"/>
          <w:szCs w:val="24"/>
          <w:rtl/>
        </w:rPr>
        <w:t>ביחס לעבירה השנייה המוזכרת בס' 3 לכתב אישום</w:t>
      </w:r>
      <w:r w:rsidR="008F4155">
        <w:rPr>
          <w:rFonts w:ascii="David" w:hAnsi="David" w:cs="David" w:hint="cs"/>
          <w:sz w:val="24"/>
          <w:szCs w:val="24"/>
          <w:rtl/>
        </w:rPr>
        <w:t>,</w:t>
      </w:r>
      <w:r w:rsidRPr="00DF7B6F">
        <w:rPr>
          <w:rFonts w:ascii="David" w:hAnsi="David" w:cs="David" w:hint="cs"/>
          <w:sz w:val="24"/>
          <w:szCs w:val="24"/>
          <w:rtl/>
        </w:rPr>
        <w:t xml:space="preserve"> מדובר בשוטר כעד לאירוע ולא כמתלונן.  אי לכך יש עדות חיצונית למעשה הנאשם. על בית המשפט</w:t>
      </w:r>
      <w:r w:rsidR="008F4155">
        <w:rPr>
          <w:rFonts w:ascii="David" w:hAnsi="David" w:cs="David" w:hint="cs"/>
          <w:sz w:val="24"/>
          <w:szCs w:val="24"/>
          <w:rtl/>
        </w:rPr>
        <w:t>,</w:t>
      </w:r>
      <w:r w:rsidRPr="00DF7B6F">
        <w:rPr>
          <w:rFonts w:ascii="David" w:hAnsi="David" w:cs="David" w:hint="cs"/>
          <w:sz w:val="24"/>
          <w:szCs w:val="24"/>
          <w:rtl/>
        </w:rPr>
        <w:t xml:space="preserve"> לאחר שמיעת מכלול הראיות</w:t>
      </w:r>
      <w:r w:rsidR="008F4155">
        <w:rPr>
          <w:rFonts w:ascii="David" w:hAnsi="David" w:cs="David" w:hint="cs"/>
          <w:sz w:val="24"/>
          <w:szCs w:val="24"/>
          <w:rtl/>
        </w:rPr>
        <w:t>,</w:t>
      </w:r>
      <w:r w:rsidRPr="00DF7B6F">
        <w:rPr>
          <w:rFonts w:ascii="David" w:hAnsi="David" w:cs="David" w:hint="cs"/>
          <w:sz w:val="24"/>
          <w:szCs w:val="24"/>
          <w:rtl/>
        </w:rPr>
        <w:t xml:space="preserve"> לבחון ולשקול את העדות בטרם קביעת העובדות</w:t>
      </w:r>
      <w:r w:rsidR="008F4155">
        <w:rPr>
          <w:rFonts w:ascii="David" w:hAnsi="David" w:cs="David" w:hint="cs"/>
          <w:sz w:val="24"/>
          <w:szCs w:val="24"/>
          <w:rtl/>
        </w:rPr>
        <w:t>,</w:t>
      </w:r>
      <w:r w:rsidRPr="00DF7B6F">
        <w:rPr>
          <w:rFonts w:ascii="David" w:hAnsi="David" w:cs="David" w:hint="cs"/>
          <w:sz w:val="24"/>
          <w:szCs w:val="24"/>
          <w:rtl/>
        </w:rPr>
        <w:t xml:space="preserve"> והאם יש להרשיע או לזכות את הנאשם.   האבחנה עולה מהפסיקה לעיל</w:t>
      </w:r>
      <w:r w:rsidR="008F4155">
        <w:rPr>
          <w:rFonts w:ascii="David" w:hAnsi="David" w:cs="David" w:hint="cs"/>
          <w:sz w:val="24"/>
          <w:szCs w:val="24"/>
          <w:rtl/>
        </w:rPr>
        <w:t>,</w:t>
      </w:r>
      <w:r w:rsidRPr="00DF7B6F">
        <w:rPr>
          <w:rFonts w:ascii="David" w:hAnsi="David" w:cs="David" w:hint="cs"/>
          <w:sz w:val="24"/>
          <w:szCs w:val="24"/>
          <w:rtl/>
        </w:rPr>
        <w:t xml:space="preserve"> התייחסות לקיום לראיות מעבר לעדויות המתלוננים מול הנאשם ותו לאו. שאלת הפעלת או אי הפעלת מצלמת גוף של השוטר בזמן אמת מהווה שיקול בקביעת מהמנות השוטר לאחר חקירתו בחקירה נגדית.  למה לא הפעיל את מצלמת גוף שלו מיד?</w:t>
      </w:r>
    </w:p>
    <w:p w:rsidR="003D05E6" w:rsidRDefault="003D05E6" w:rsidP="003D05E6">
      <w:pPr>
        <w:spacing w:before="240" w:line="360" w:lineRule="auto"/>
        <w:rPr>
          <w:rFonts w:ascii="David" w:hAnsi="David"/>
          <w:b/>
          <w:bCs/>
          <w:rtl/>
        </w:rPr>
      </w:pPr>
      <w:r w:rsidRPr="00D1368B">
        <w:rPr>
          <w:rFonts w:ascii="David" w:hAnsi="David" w:hint="cs"/>
          <w:b/>
          <w:bCs/>
          <w:rtl/>
        </w:rPr>
        <w:t xml:space="preserve">סיכום </w:t>
      </w:r>
    </w:p>
    <w:p w:rsidR="003D05E6" w:rsidRDefault="003D05E6" w:rsidP="003D05E6">
      <w:pPr>
        <w:pStyle w:val="ad"/>
        <w:numPr>
          <w:ilvl w:val="0"/>
          <w:numId w:val="1"/>
        </w:numPr>
        <w:bidi/>
        <w:spacing w:before="240" w:line="360" w:lineRule="auto"/>
        <w:rPr>
          <w:rFonts w:ascii="David" w:hAnsi="David" w:cs="David"/>
          <w:sz w:val="24"/>
          <w:szCs w:val="24"/>
        </w:rPr>
      </w:pPr>
      <w:r w:rsidRPr="00556977">
        <w:rPr>
          <w:rFonts w:ascii="David" w:hAnsi="David" w:cs="David" w:hint="cs"/>
          <w:sz w:val="24"/>
          <w:szCs w:val="24"/>
          <w:rtl/>
        </w:rPr>
        <w:t xml:space="preserve">אין בפני בית המשפט הסבר למה משטרת </w:t>
      </w:r>
      <w:r>
        <w:rPr>
          <w:rFonts w:ascii="David" w:hAnsi="David" w:cs="David" w:hint="cs"/>
          <w:sz w:val="24"/>
          <w:szCs w:val="24"/>
          <w:rtl/>
        </w:rPr>
        <w:t xml:space="preserve">ישראל </w:t>
      </w:r>
      <w:r w:rsidRPr="00556977">
        <w:rPr>
          <w:rFonts w:ascii="David" w:hAnsi="David" w:cs="David" w:hint="cs"/>
          <w:sz w:val="24"/>
          <w:szCs w:val="24"/>
          <w:rtl/>
        </w:rPr>
        <w:t>עם קבלת התלונה</w:t>
      </w:r>
      <w:r>
        <w:rPr>
          <w:rFonts w:ascii="David" w:hAnsi="David" w:cs="David" w:hint="cs"/>
          <w:sz w:val="24"/>
          <w:szCs w:val="24"/>
          <w:rtl/>
        </w:rPr>
        <w:t xml:space="preserve"> מטעם המתלוננים ו</w:t>
      </w:r>
      <w:r w:rsidRPr="00556977">
        <w:rPr>
          <w:rFonts w:ascii="David" w:hAnsi="David" w:cs="David" w:hint="cs"/>
          <w:sz w:val="24"/>
          <w:szCs w:val="24"/>
          <w:rtl/>
        </w:rPr>
        <w:t xml:space="preserve">נוכח הנסיבות המתוארות בה,  לא עשתה הדבר הפשוט ביותר: לצאת ולבדוק מצלמות באזור.  </w:t>
      </w:r>
    </w:p>
    <w:p w:rsidR="003D05E6" w:rsidRPr="00556977" w:rsidRDefault="003D05E6" w:rsidP="003D05E6">
      <w:pPr>
        <w:pStyle w:val="ad"/>
        <w:bidi/>
        <w:spacing w:before="240" w:line="360" w:lineRule="auto"/>
        <w:rPr>
          <w:rFonts w:ascii="David" w:hAnsi="David" w:cs="David"/>
          <w:sz w:val="24"/>
          <w:szCs w:val="24"/>
          <w:rtl/>
        </w:rPr>
      </w:pPr>
    </w:p>
    <w:p w:rsidR="003D05E6" w:rsidRDefault="003D05E6" w:rsidP="00884DC4">
      <w:pPr>
        <w:pStyle w:val="ad"/>
        <w:bidi/>
        <w:spacing w:before="240" w:line="360" w:lineRule="auto"/>
        <w:rPr>
          <w:rFonts w:ascii="David" w:hAnsi="David" w:cs="David"/>
          <w:sz w:val="24"/>
          <w:szCs w:val="24"/>
          <w:rtl/>
        </w:rPr>
      </w:pPr>
      <w:r>
        <w:rPr>
          <w:rFonts w:ascii="David" w:hAnsi="David" w:cs="David" w:hint="cs"/>
          <w:sz w:val="24"/>
          <w:szCs w:val="24"/>
          <w:rtl/>
        </w:rPr>
        <w:t xml:space="preserve">בכל מקרה הימנעות מלבדוק </w:t>
      </w:r>
      <w:r w:rsidR="008F4155">
        <w:rPr>
          <w:rFonts w:ascii="David" w:hAnsi="David" w:cs="David" w:hint="cs"/>
          <w:sz w:val="24"/>
          <w:szCs w:val="24"/>
          <w:rtl/>
        </w:rPr>
        <w:t>את</w:t>
      </w:r>
      <w:r>
        <w:rPr>
          <w:rFonts w:ascii="David" w:hAnsi="David" w:cs="David" w:hint="cs"/>
          <w:sz w:val="24"/>
          <w:szCs w:val="24"/>
          <w:rtl/>
        </w:rPr>
        <w:t xml:space="preserve"> עצם קיום </w:t>
      </w:r>
      <w:r w:rsidR="008F4155">
        <w:rPr>
          <w:rFonts w:ascii="David" w:hAnsi="David" w:cs="David" w:hint="cs"/>
          <w:sz w:val="24"/>
          <w:szCs w:val="24"/>
          <w:rtl/>
        </w:rPr>
        <w:t>ה</w:t>
      </w:r>
      <w:r>
        <w:rPr>
          <w:rFonts w:ascii="David" w:hAnsi="David" w:cs="David" w:hint="cs"/>
          <w:sz w:val="24"/>
          <w:szCs w:val="24"/>
          <w:rtl/>
        </w:rPr>
        <w:t xml:space="preserve">מצלמות מהווה "מחדל" בחקירת האירוע ומצביע על פגמים קשים מצד הרשות החוקרת ביחס לנדרש בחקירת אירועים הדומים לאירוע מושא כתב האישום. על המשטרה לבדוק יעילות שיטת עבודה המפצלת סמכויות חקירה בין גורמים שונים (לרבות אופן איסוף ראיות) במהלך חקירה. האם  </w:t>
      </w:r>
      <w:r w:rsidR="008F4155">
        <w:rPr>
          <w:rFonts w:ascii="David" w:hAnsi="David" w:cs="David" w:hint="cs"/>
          <w:sz w:val="24"/>
          <w:szCs w:val="24"/>
          <w:rtl/>
        </w:rPr>
        <w:t>ה</w:t>
      </w:r>
      <w:r>
        <w:rPr>
          <w:rFonts w:ascii="David" w:hAnsi="David" w:cs="David" w:hint="cs"/>
          <w:sz w:val="24"/>
          <w:szCs w:val="24"/>
          <w:rtl/>
        </w:rPr>
        <w:t xml:space="preserve">שיטה הקיימת משיגה את יעדיה או ההפך, קרי, פוגעת בחקירה, ביעדיה ותכלית פעולות המשטרה? יש להסיק מכך מסקנות אופרטיביות. בדומה לעניין דנן, במספר לא מעט של תיקים בפני מותב זה, מדובר בתופעה החוזרת על עצמה.  יתכן כי בשיטת העבודה הקיימת נגרמת פגיעה בזכויותיהם הדיוניות והמהותיות של מתלוננים ושל נאשמים.  </w:t>
      </w:r>
    </w:p>
    <w:p w:rsidR="003D05E6" w:rsidRDefault="003D05E6" w:rsidP="003D05E6">
      <w:pPr>
        <w:pStyle w:val="ad"/>
        <w:bidi/>
        <w:spacing w:before="240" w:line="360" w:lineRule="auto"/>
        <w:rPr>
          <w:rFonts w:ascii="David" w:hAnsi="David" w:cs="David"/>
          <w:sz w:val="24"/>
          <w:szCs w:val="24"/>
          <w:rtl/>
        </w:rPr>
      </w:pPr>
    </w:p>
    <w:p w:rsidR="003D05E6" w:rsidRDefault="003D05E6" w:rsidP="00884DC4">
      <w:pPr>
        <w:pStyle w:val="ad"/>
        <w:bidi/>
        <w:spacing w:before="240" w:line="360" w:lineRule="auto"/>
        <w:rPr>
          <w:rFonts w:ascii="David" w:hAnsi="David" w:cs="David"/>
          <w:sz w:val="24"/>
          <w:szCs w:val="24"/>
          <w:rtl/>
        </w:rPr>
      </w:pPr>
      <w:r>
        <w:rPr>
          <w:rFonts w:ascii="David" w:hAnsi="David" w:cs="David" w:hint="cs"/>
          <w:sz w:val="24"/>
          <w:szCs w:val="24"/>
          <w:rtl/>
        </w:rPr>
        <w:t xml:space="preserve">המבחן לנפקות "מחדלי החקירה" פשוט במשמעו: האם ניתן להסתמך על הראיה הקיימת לצורך קביעת אשמת הנאשם "מעבר לספק הסביר" לעומת השאלה האם  </w:t>
      </w:r>
      <w:r>
        <w:rPr>
          <w:rFonts w:ascii="David" w:hAnsi="David" w:cs="David" w:hint="cs"/>
          <w:sz w:val="24"/>
          <w:szCs w:val="24"/>
          <w:rtl/>
        </w:rPr>
        <w:lastRenderedPageBreak/>
        <w:t xml:space="preserve">"מחדלי החקירה" גרמו לפגם שגרם לקיפוח הגנת הנאשם? (ראה ע"פ  (ב"ש) 57943-01-22 </w:t>
      </w:r>
      <w:r w:rsidRPr="002C4BF1">
        <w:rPr>
          <w:rFonts w:ascii="David" w:hAnsi="David" w:cs="David" w:hint="cs"/>
          <w:b/>
          <w:bCs/>
          <w:sz w:val="24"/>
          <w:szCs w:val="24"/>
          <w:rtl/>
        </w:rPr>
        <w:t>מדינת ישראל נגד אברהם אביטבול</w:t>
      </w:r>
      <w:r>
        <w:rPr>
          <w:rFonts w:ascii="David" w:hAnsi="David" w:cs="David" w:hint="cs"/>
          <w:b/>
          <w:bCs/>
          <w:sz w:val="24"/>
          <w:szCs w:val="24"/>
          <w:rtl/>
        </w:rPr>
        <w:t>,</w:t>
      </w:r>
      <w:r w:rsidRPr="002C4BF1">
        <w:rPr>
          <w:rFonts w:ascii="David" w:hAnsi="David" w:cs="David" w:hint="cs"/>
          <w:b/>
          <w:bCs/>
          <w:sz w:val="24"/>
          <w:szCs w:val="24"/>
          <w:rtl/>
        </w:rPr>
        <w:t xml:space="preserve"> </w:t>
      </w:r>
      <w:r>
        <w:rPr>
          <w:rFonts w:ascii="David" w:hAnsi="David" w:cs="David" w:hint="cs"/>
          <w:sz w:val="24"/>
          <w:szCs w:val="24"/>
          <w:rtl/>
        </w:rPr>
        <w:t>פורסם בנבו, 16.2.22) . ביחס לסעיפים 1-2 לכתב האישום בשלב זה לא ניתן לקבוע אם זכות הנאשם להליך ראוי נפגע</w:t>
      </w:r>
      <w:r w:rsidR="008F4155">
        <w:rPr>
          <w:rFonts w:ascii="David" w:hAnsi="David" w:cs="David" w:hint="cs"/>
          <w:sz w:val="24"/>
          <w:szCs w:val="24"/>
          <w:rtl/>
        </w:rPr>
        <w:t>ה</w:t>
      </w:r>
      <w:r>
        <w:rPr>
          <w:rFonts w:ascii="David" w:hAnsi="David" w:cs="David" w:hint="cs"/>
          <w:sz w:val="24"/>
          <w:szCs w:val="24"/>
          <w:rtl/>
        </w:rPr>
        <w:t xml:space="preserve"> בהעדר ראשית ראיה על עצם קיום חומר חקירה לפיו יתכן תיעוד האירוע.  אין בכך כדי למנוע מב"כ הנאשם להביא במהלך שמיעת הוכחות ראשית הראיה הנדרשת המצביעה על קיום מצלמות בעלות יכול</w:t>
      </w:r>
      <w:r w:rsidR="008F4155">
        <w:rPr>
          <w:rFonts w:ascii="David" w:hAnsi="David" w:cs="David" w:hint="cs"/>
          <w:sz w:val="24"/>
          <w:szCs w:val="24"/>
          <w:rtl/>
        </w:rPr>
        <w:t xml:space="preserve">ת לתעד את האירוע. אם קיימת ראשית </w:t>
      </w:r>
      <w:r>
        <w:rPr>
          <w:rFonts w:ascii="David" w:hAnsi="David" w:cs="David" w:hint="cs"/>
          <w:sz w:val="24"/>
          <w:szCs w:val="24"/>
          <w:rtl/>
        </w:rPr>
        <w:t>ראיה</w:t>
      </w:r>
      <w:r w:rsidR="00884DC4">
        <w:rPr>
          <w:rFonts w:ascii="David" w:hAnsi="David" w:cs="David" w:hint="cs"/>
          <w:sz w:val="24"/>
          <w:szCs w:val="24"/>
          <w:rtl/>
        </w:rPr>
        <w:t>,</w:t>
      </w:r>
      <w:r>
        <w:rPr>
          <w:rFonts w:ascii="David" w:hAnsi="David" w:cs="David" w:hint="cs"/>
          <w:sz w:val="24"/>
          <w:szCs w:val="24"/>
          <w:rtl/>
        </w:rPr>
        <w:t xml:space="preserve"> אזי המותב אשר דן בתיק יקבע האם נפגעה זכות הנאשם להליך ראוי והסעד המתאים. </w:t>
      </w:r>
    </w:p>
    <w:p w:rsidR="003D05E6" w:rsidRDefault="003D05E6" w:rsidP="003D05E6">
      <w:pPr>
        <w:pStyle w:val="ad"/>
        <w:bidi/>
        <w:spacing w:before="240" w:line="360" w:lineRule="auto"/>
        <w:rPr>
          <w:rFonts w:ascii="David" w:hAnsi="David" w:cs="David"/>
          <w:sz w:val="24"/>
          <w:szCs w:val="24"/>
          <w:rtl/>
        </w:rPr>
      </w:pPr>
    </w:p>
    <w:p w:rsidR="003D05E6" w:rsidRDefault="008F4155" w:rsidP="003D05E6">
      <w:pPr>
        <w:pStyle w:val="ad"/>
        <w:bidi/>
        <w:spacing w:before="240" w:line="360" w:lineRule="auto"/>
        <w:rPr>
          <w:rFonts w:ascii="David" w:hAnsi="David" w:cs="David"/>
          <w:b/>
          <w:bCs/>
          <w:sz w:val="24"/>
          <w:szCs w:val="24"/>
          <w:rtl/>
        </w:rPr>
      </w:pPr>
      <w:r>
        <w:rPr>
          <w:rFonts w:ascii="David" w:hAnsi="David" w:cs="David" w:hint="cs"/>
          <w:sz w:val="24"/>
          <w:szCs w:val="24"/>
          <w:rtl/>
        </w:rPr>
        <w:t>ו</w:t>
      </w:r>
      <w:r w:rsidR="003D05E6">
        <w:rPr>
          <w:rFonts w:ascii="David" w:hAnsi="David" w:cs="David" w:hint="cs"/>
          <w:sz w:val="24"/>
          <w:szCs w:val="24"/>
          <w:rtl/>
        </w:rPr>
        <w:t>אולם</w:t>
      </w:r>
      <w:r>
        <w:rPr>
          <w:rFonts w:ascii="David" w:hAnsi="David" w:cs="David" w:hint="cs"/>
          <w:sz w:val="24"/>
          <w:szCs w:val="24"/>
          <w:rtl/>
        </w:rPr>
        <w:t>,</w:t>
      </w:r>
      <w:r w:rsidR="003D05E6">
        <w:rPr>
          <w:rFonts w:ascii="David" w:hAnsi="David" w:cs="David" w:hint="cs"/>
          <w:sz w:val="24"/>
          <w:szCs w:val="24"/>
          <w:rtl/>
        </w:rPr>
        <w:t xml:space="preserve"> ביחס לעביר</w:t>
      </w:r>
      <w:r>
        <w:rPr>
          <w:rFonts w:ascii="David" w:hAnsi="David" w:cs="David" w:hint="cs"/>
          <w:sz w:val="24"/>
          <w:szCs w:val="24"/>
          <w:rtl/>
        </w:rPr>
        <w:t xml:space="preserve">ה כפי שעולה מסעיף 3 לכתב האישום, </w:t>
      </w:r>
      <w:r w:rsidR="003D05E6">
        <w:rPr>
          <w:rFonts w:ascii="David" w:hAnsi="David" w:cs="David" w:hint="cs"/>
          <w:sz w:val="24"/>
          <w:szCs w:val="24"/>
          <w:rtl/>
        </w:rPr>
        <w:t>קיימת עדות חיצונית לאירוע</w:t>
      </w:r>
      <w:r w:rsidR="00884DC4">
        <w:rPr>
          <w:rFonts w:ascii="David" w:hAnsi="David" w:cs="David" w:hint="cs"/>
          <w:sz w:val="24"/>
          <w:szCs w:val="24"/>
          <w:rtl/>
        </w:rPr>
        <w:t>,</w:t>
      </w:r>
      <w:r w:rsidR="003D05E6">
        <w:rPr>
          <w:rFonts w:ascii="David" w:hAnsi="David" w:cs="David" w:hint="cs"/>
          <w:sz w:val="24"/>
          <w:szCs w:val="24"/>
          <w:rtl/>
        </w:rPr>
        <w:t xml:space="preserve"> לכן בבוא העת על בית המשפט לתת את הדעת למשקל הראיתי ל"מחדל החקירה"  ביחס לאי הפעלת מצלמת גוף של השוטר בזמן אמת לעומת עדות וראיות בפניו. </w:t>
      </w:r>
    </w:p>
    <w:p w:rsidR="002F3B38" w:rsidRDefault="003D05E6" w:rsidP="00CC0D65">
      <w:pPr>
        <w:spacing w:before="240" w:line="360" w:lineRule="auto"/>
        <w:rPr>
          <w:rFonts w:ascii="Arial" w:hAnsi="Arial"/>
          <w:noProof w:val="0"/>
          <w:rtl/>
        </w:rPr>
      </w:pPr>
      <w:r>
        <w:rPr>
          <w:rFonts w:ascii="David" w:hAnsi="David" w:hint="cs"/>
          <w:rtl/>
        </w:rPr>
        <w:t xml:space="preserve">לאור האמור הבקשה לביטול כתב אישום נדחית בשלב זה.  יחד עם זאת זכותו של הנאשם להביא ראיות בעניין קיום המצלמות </w:t>
      </w:r>
      <w:r w:rsidR="00263E54">
        <w:rPr>
          <w:rFonts w:ascii="David" w:hAnsi="David" w:hint="cs"/>
          <w:rtl/>
        </w:rPr>
        <w:t xml:space="preserve">מכוונות לזירה </w:t>
      </w:r>
      <w:r w:rsidR="00CC0D65">
        <w:rPr>
          <w:rFonts w:ascii="David" w:hAnsi="David" w:hint="cs"/>
          <w:rtl/>
        </w:rPr>
        <w:t>ולטעון ביחס ל"מחדל חקירה" כאמור לעיל ו</w:t>
      </w:r>
      <w:r>
        <w:rPr>
          <w:rFonts w:ascii="David" w:hAnsi="David" w:hint="cs"/>
          <w:rtl/>
        </w:rPr>
        <w:t>במהלך שמיעת הוכחות ולטעון על השלכות אי הפעלת מצ</w:t>
      </w:r>
      <w:r w:rsidR="008F4155">
        <w:rPr>
          <w:rFonts w:ascii="David" w:hAnsi="David" w:hint="cs"/>
          <w:rtl/>
        </w:rPr>
        <w:t>ל</w:t>
      </w:r>
      <w:r>
        <w:rPr>
          <w:rFonts w:ascii="David" w:hAnsi="David" w:hint="cs"/>
          <w:rtl/>
        </w:rPr>
        <w:t xml:space="preserve">מת </w:t>
      </w:r>
      <w:r w:rsidR="008F4155">
        <w:rPr>
          <w:rFonts w:ascii="David" w:hAnsi="David" w:hint="cs"/>
          <w:rtl/>
        </w:rPr>
        <w:t>ה</w:t>
      </w:r>
      <w:r>
        <w:rPr>
          <w:rFonts w:ascii="David" w:hAnsi="David" w:hint="cs"/>
          <w:rtl/>
        </w:rPr>
        <w:t>גוף של השוטר בזמן אמת.</w:t>
      </w:r>
    </w:p>
    <w:p w:rsidR="008F4155" w:rsidRDefault="008F4155" w:rsidP="002F3B38">
      <w:pPr>
        <w:spacing w:before="240" w:line="360" w:lineRule="auto"/>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י"ג אייר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21 מאי 2024</w:t>
          </w:r>
        </w:sdtContent>
      </w:sdt>
      <w:r w:rsidR="00005C8B">
        <w:rPr>
          <w:rFonts w:ascii="Arial" w:hAnsi="Arial"/>
          <w:noProof w:val="0"/>
          <w:rtl/>
        </w:rPr>
        <w:t>, בהעדר הצדדים.</w:t>
      </w:r>
    </w:p>
    <w:p w:rsidR="00C43648" w:rsidRDefault="00DF1919"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871135334"/>
        </w:sdtPr>
        <w:sdtEndPr/>
        <w:sdtContent>
          <w:r w:rsidR="00DE6F99">
            <w:drawing>
              <wp:inline distT="0" distB="0" distL="0" distR="0" wp14:editId="50D07946">
                <wp:extent cx="1095375" cy="1143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095375" cy="11430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1919" w:rsidRDefault="00DF1919">
      <w:r>
        <w:separator/>
      </w:r>
    </w:p>
  </w:endnote>
  <w:endnote w:type="continuationSeparator" w:id="0">
    <w:p w:rsidR="00DF1919" w:rsidRDefault="00DF1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5E6" w:rsidRDefault="003D05E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4"/>
      <w:jc w:val="center"/>
      <w:rPr>
        <w:rStyle w:val="ab"/>
        <w:rFonts w:ascii="David" w:hAnsi="David"/>
      </w:rPr>
    </w:pPr>
    <w:r w:rsidRPr="00E765F7">
      <w:rPr>
        <w:rStyle w:val="ab"/>
        <w:rFonts w:ascii="David" w:hAnsi="David"/>
      </w:rPr>
      <w:fldChar w:fldCharType="begin"/>
    </w:r>
    <w:r w:rsidR="00005C8B" w:rsidRPr="00E765F7">
      <w:rPr>
        <w:rStyle w:val="ab"/>
        <w:rFonts w:ascii="David" w:hAnsi="David"/>
      </w:rPr>
      <w:instrText xml:space="preserve"> PAGE </w:instrText>
    </w:r>
    <w:r w:rsidRPr="00E765F7">
      <w:rPr>
        <w:rStyle w:val="ab"/>
        <w:rFonts w:ascii="David" w:hAnsi="David"/>
      </w:rPr>
      <w:fldChar w:fldCharType="separate"/>
    </w:r>
    <w:r w:rsidR="002751D5">
      <w:rPr>
        <w:rStyle w:val="ab"/>
        <w:rFonts w:ascii="David" w:hAnsi="David"/>
        <w:rtl/>
      </w:rPr>
      <w:t>1</w:t>
    </w:r>
    <w:r w:rsidRPr="00E765F7">
      <w:rPr>
        <w:rStyle w:val="ab"/>
        <w:rFonts w:ascii="David" w:hAnsi="David"/>
      </w:rPr>
      <w:fldChar w:fldCharType="end"/>
    </w:r>
    <w:r w:rsidR="00005C8B" w:rsidRPr="00E765F7">
      <w:rPr>
        <w:rStyle w:val="ab"/>
        <w:rFonts w:ascii="David" w:hAnsi="David"/>
        <w:rtl/>
      </w:rPr>
      <w:t xml:space="preserve"> מתוך </w:t>
    </w:r>
    <w:r w:rsidRPr="00E765F7">
      <w:rPr>
        <w:rStyle w:val="ab"/>
        <w:rFonts w:ascii="David" w:hAnsi="David"/>
      </w:rPr>
      <w:fldChar w:fldCharType="begin"/>
    </w:r>
    <w:r w:rsidR="00005C8B" w:rsidRPr="00E765F7">
      <w:rPr>
        <w:rStyle w:val="ab"/>
        <w:rFonts w:ascii="David" w:hAnsi="David"/>
      </w:rPr>
      <w:instrText xml:space="preserve"> NUMPAGES </w:instrText>
    </w:r>
    <w:r w:rsidRPr="00E765F7">
      <w:rPr>
        <w:rStyle w:val="ab"/>
        <w:rFonts w:ascii="David" w:hAnsi="David"/>
      </w:rPr>
      <w:fldChar w:fldCharType="separate"/>
    </w:r>
    <w:r w:rsidR="002751D5">
      <w:rPr>
        <w:rStyle w:val="ab"/>
        <w:rFonts w:ascii="David" w:hAnsi="David"/>
        <w:rtl/>
      </w:rPr>
      <w:t>8</w:t>
    </w:r>
    <w:r w:rsidRPr="00E765F7">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5E6" w:rsidRDefault="003D05E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1919" w:rsidRDefault="00DF1919">
      <w:r>
        <w:separator/>
      </w:r>
    </w:p>
  </w:footnote>
  <w:footnote w:type="continuationSeparator" w:id="0">
    <w:p w:rsidR="00DF1919" w:rsidRDefault="00DF19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5E6" w:rsidRDefault="003D05E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בירושלים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DF1919" w:rsidP="00CD516B">
          <w:pPr>
            <w:rPr>
              <w:b/>
              <w:bCs/>
              <w:noProof w:val="0"/>
              <w:sz w:val="26"/>
              <w:szCs w:val="26"/>
              <w:rtl/>
            </w:rPr>
          </w:pPr>
          <w:sdt>
            <w:sdtPr>
              <w:rPr>
                <w:rtl/>
              </w:rPr>
              <w:alias w:val="1170"/>
              <w:tag w:val="1170"/>
              <w:id w:val="1066377040"/>
              <w:text w:multiLine="1"/>
            </w:sdtPr>
            <w:sdtEndPr/>
            <w:sdtContent>
              <w:r w:rsidR="00E765F7">
                <w:rPr>
                  <w:b/>
                  <w:bCs/>
                  <w:noProof w:val="0"/>
                  <w:sz w:val="26"/>
                  <w:szCs w:val="26"/>
                  <w:rtl/>
                </w:rPr>
                <w:t>ת"פ</w:t>
              </w:r>
            </w:sdtContent>
          </w:sdt>
          <w:r w:rsidR="00005C8B">
            <w:rPr>
              <w:b/>
              <w:bCs/>
              <w:noProof w:val="0"/>
              <w:sz w:val="26"/>
              <w:szCs w:val="26"/>
              <w:rtl/>
            </w:rPr>
            <w:t xml:space="preserve"> </w:t>
          </w:r>
          <w:sdt>
            <w:sdtPr>
              <w:rPr>
                <w:rtl/>
              </w:rPr>
              <w:alias w:val="1171"/>
              <w:tag w:val="1171"/>
              <w:id w:val="257034231"/>
              <w:text w:multiLine="1"/>
            </w:sdtPr>
            <w:sdtEndPr/>
            <w:sdtContent>
              <w:r w:rsidR="00E765F7">
                <w:rPr>
                  <w:b/>
                  <w:bCs/>
                  <w:noProof w:val="0"/>
                  <w:sz w:val="26"/>
                  <w:szCs w:val="26"/>
                  <w:rtl/>
                </w:rPr>
                <w:t>35828-07-22</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E765F7">
                <w:rPr>
                  <w:b/>
                  <w:bCs/>
                  <w:noProof w:val="0"/>
                  <w:sz w:val="26"/>
                  <w:szCs w:val="26"/>
                  <w:rtl/>
                </w:rPr>
                <w:t>מדינת ישראל נ' כהן</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r>
                <w:rPr>
                  <w:rFonts w:hint="eastAsia"/>
                  <w:sz w:val="20"/>
                  <w:szCs w:val="20"/>
                </w:rPr>
                <w:t>937084/2020</w:t>
              </w: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5E6" w:rsidRDefault="003D05E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01B"/>
    <w:multiLevelType w:val="hybridMultilevel"/>
    <w:tmpl w:val="5186F7C4"/>
    <w:lvl w:ilvl="0" w:tplc="98824FC4">
      <w:start w:val="1"/>
      <w:numFmt w:val="decimal"/>
      <w:pStyle w:val="Ruller4"/>
      <w:lvlText w:val="%1."/>
      <w:lvlJc w:val="left"/>
      <w:pPr>
        <w:tabs>
          <w:tab w:val="num" w:pos="907"/>
        </w:tabs>
        <w:ind w:left="0" w:firstLine="0"/>
      </w:pPr>
      <w:rPr>
        <w:rFonts w:hint="default"/>
      </w:rPr>
    </w:lvl>
    <w:lvl w:ilvl="1" w:tplc="6C28D4CC" w:tentative="1">
      <w:start w:val="1"/>
      <w:numFmt w:val="lowerLetter"/>
      <w:lvlText w:val="%2."/>
      <w:lvlJc w:val="left"/>
      <w:pPr>
        <w:tabs>
          <w:tab w:val="num" w:pos="1440"/>
        </w:tabs>
        <w:ind w:left="1440" w:hanging="360"/>
      </w:pPr>
    </w:lvl>
    <w:lvl w:ilvl="2" w:tplc="23D4BE12" w:tentative="1">
      <w:start w:val="1"/>
      <w:numFmt w:val="lowerRoman"/>
      <w:lvlText w:val="%3."/>
      <w:lvlJc w:val="right"/>
      <w:pPr>
        <w:tabs>
          <w:tab w:val="num" w:pos="2160"/>
        </w:tabs>
        <w:ind w:left="2160" w:hanging="180"/>
      </w:pPr>
    </w:lvl>
    <w:lvl w:ilvl="3" w:tplc="5C7433C8" w:tentative="1">
      <w:start w:val="1"/>
      <w:numFmt w:val="decimal"/>
      <w:lvlText w:val="%4."/>
      <w:lvlJc w:val="left"/>
      <w:pPr>
        <w:tabs>
          <w:tab w:val="num" w:pos="2880"/>
        </w:tabs>
        <w:ind w:left="2880" w:hanging="360"/>
      </w:pPr>
    </w:lvl>
    <w:lvl w:ilvl="4" w:tplc="F54AC138" w:tentative="1">
      <w:start w:val="1"/>
      <w:numFmt w:val="lowerLetter"/>
      <w:lvlText w:val="%5."/>
      <w:lvlJc w:val="left"/>
      <w:pPr>
        <w:tabs>
          <w:tab w:val="num" w:pos="3600"/>
        </w:tabs>
        <w:ind w:left="3600" w:hanging="360"/>
      </w:pPr>
    </w:lvl>
    <w:lvl w:ilvl="5" w:tplc="F8C66A3C" w:tentative="1">
      <w:start w:val="1"/>
      <w:numFmt w:val="lowerRoman"/>
      <w:lvlText w:val="%6."/>
      <w:lvlJc w:val="right"/>
      <w:pPr>
        <w:tabs>
          <w:tab w:val="num" w:pos="4320"/>
        </w:tabs>
        <w:ind w:left="4320" w:hanging="180"/>
      </w:pPr>
    </w:lvl>
    <w:lvl w:ilvl="6" w:tplc="E14E2AF6" w:tentative="1">
      <w:start w:val="1"/>
      <w:numFmt w:val="decimal"/>
      <w:lvlText w:val="%7."/>
      <w:lvlJc w:val="left"/>
      <w:pPr>
        <w:tabs>
          <w:tab w:val="num" w:pos="5040"/>
        </w:tabs>
        <w:ind w:left="5040" w:hanging="360"/>
      </w:pPr>
    </w:lvl>
    <w:lvl w:ilvl="7" w:tplc="9D2293B6" w:tentative="1">
      <w:start w:val="1"/>
      <w:numFmt w:val="lowerLetter"/>
      <w:lvlText w:val="%8."/>
      <w:lvlJc w:val="left"/>
      <w:pPr>
        <w:tabs>
          <w:tab w:val="num" w:pos="5760"/>
        </w:tabs>
        <w:ind w:left="5760" w:hanging="360"/>
      </w:pPr>
    </w:lvl>
    <w:lvl w:ilvl="8" w:tplc="3F727FEE" w:tentative="1">
      <w:start w:val="1"/>
      <w:numFmt w:val="lowerRoman"/>
      <w:lvlText w:val="%9."/>
      <w:lvlJc w:val="right"/>
      <w:pPr>
        <w:tabs>
          <w:tab w:val="num" w:pos="6480"/>
        </w:tabs>
        <w:ind w:left="6480" w:hanging="180"/>
      </w:pPr>
    </w:lvl>
  </w:abstractNum>
  <w:abstractNum w:abstractNumId="1" w15:restartNumberingAfterBreak="0">
    <w:nsid w:val="1FB81A0E"/>
    <w:multiLevelType w:val="hybridMultilevel"/>
    <w:tmpl w:val="4DC00EEE"/>
    <w:lvl w:ilvl="0" w:tplc="8DE4F0DA">
      <w:start w:val="1"/>
      <w:numFmt w:val="hebrew1"/>
      <w:lvlText w:val="%1."/>
      <w:lvlJc w:val="left"/>
      <w:pPr>
        <w:ind w:left="1800" w:hanging="360"/>
      </w:pPr>
      <w:rPr>
        <w:rFonts w:hint="default"/>
      </w:rPr>
    </w:lvl>
    <w:lvl w:ilvl="1" w:tplc="8C004FC0" w:tentative="1">
      <w:start w:val="1"/>
      <w:numFmt w:val="lowerLetter"/>
      <w:lvlText w:val="%2."/>
      <w:lvlJc w:val="left"/>
      <w:pPr>
        <w:ind w:left="2520" w:hanging="360"/>
      </w:pPr>
    </w:lvl>
    <w:lvl w:ilvl="2" w:tplc="0E46FA68" w:tentative="1">
      <w:start w:val="1"/>
      <w:numFmt w:val="lowerRoman"/>
      <w:lvlText w:val="%3."/>
      <w:lvlJc w:val="right"/>
      <w:pPr>
        <w:ind w:left="3240" w:hanging="180"/>
      </w:pPr>
    </w:lvl>
    <w:lvl w:ilvl="3" w:tplc="2A649138" w:tentative="1">
      <w:start w:val="1"/>
      <w:numFmt w:val="decimal"/>
      <w:lvlText w:val="%4."/>
      <w:lvlJc w:val="left"/>
      <w:pPr>
        <w:ind w:left="3960" w:hanging="360"/>
      </w:pPr>
    </w:lvl>
    <w:lvl w:ilvl="4" w:tplc="AC46A694" w:tentative="1">
      <w:start w:val="1"/>
      <w:numFmt w:val="lowerLetter"/>
      <w:lvlText w:val="%5."/>
      <w:lvlJc w:val="left"/>
      <w:pPr>
        <w:ind w:left="4680" w:hanging="360"/>
      </w:pPr>
    </w:lvl>
    <w:lvl w:ilvl="5" w:tplc="1A86F986" w:tentative="1">
      <w:start w:val="1"/>
      <w:numFmt w:val="lowerRoman"/>
      <w:lvlText w:val="%6."/>
      <w:lvlJc w:val="right"/>
      <w:pPr>
        <w:ind w:left="5400" w:hanging="180"/>
      </w:pPr>
    </w:lvl>
    <w:lvl w:ilvl="6" w:tplc="4148F092" w:tentative="1">
      <w:start w:val="1"/>
      <w:numFmt w:val="decimal"/>
      <w:lvlText w:val="%7."/>
      <w:lvlJc w:val="left"/>
      <w:pPr>
        <w:ind w:left="6120" w:hanging="360"/>
      </w:pPr>
    </w:lvl>
    <w:lvl w:ilvl="7" w:tplc="A8401B7C" w:tentative="1">
      <w:start w:val="1"/>
      <w:numFmt w:val="lowerLetter"/>
      <w:lvlText w:val="%8."/>
      <w:lvlJc w:val="left"/>
      <w:pPr>
        <w:ind w:left="6840" w:hanging="360"/>
      </w:pPr>
    </w:lvl>
    <w:lvl w:ilvl="8" w:tplc="E9D8B13E" w:tentative="1">
      <w:start w:val="1"/>
      <w:numFmt w:val="lowerRoman"/>
      <w:lvlText w:val="%9."/>
      <w:lvlJc w:val="right"/>
      <w:pPr>
        <w:ind w:left="7560" w:hanging="180"/>
      </w:pPr>
    </w:lvl>
  </w:abstractNum>
  <w:abstractNum w:abstractNumId="2" w15:restartNumberingAfterBreak="0">
    <w:nsid w:val="6CF409FB"/>
    <w:multiLevelType w:val="hybridMultilevel"/>
    <w:tmpl w:val="5DF26940"/>
    <w:lvl w:ilvl="0" w:tplc="F8DCADEA">
      <w:start w:val="1"/>
      <w:numFmt w:val="decimal"/>
      <w:lvlText w:val="%1."/>
      <w:lvlJc w:val="left"/>
      <w:pPr>
        <w:ind w:left="720" w:hanging="360"/>
      </w:pPr>
      <w:rPr>
        <w:rFonts w:hint="default"/>
        <w:b w:val="0"/>
        <w:bCs w:val="0"/>
      </w:rPr>
    </w:lvl>
    <w:lvl w:ilvl="1" w:tplc="73447734" w:tentative="1">
      <w:start w:val="1"/>
      <w:numFmt w:val="lowerLetter"/>
      <w:lvlText w:val="%2."/>
      <w:lvlJc w:val="left"/>
      <w:pPr>
        <w:ind w:left="1440" w:hanging="360"/>
      </w:pPr>
    </w:lvl>
    <w:lvl w:ilvl="2" w:tplc="5FDCE71A" w:tentative="1">
      <w:start w:val="1"/>
      <w:numFmt w:val="lowerRoman"/>
      <w:lvlText w:val="%3."/>
      <w:lvlJc w:val="right"/>
      <w:pPr>
        <w:ind w:left="2160" w:hanging="180"/>
      </w:pPr>
    </w:lvl>
    <w:lvl w:ilvl="3" w:tplc="5B1230F0" w:tentative="1">
      <w:start w:val="1"/>
      <w:numFmt w:val="decimal"/>
      <w:lvlText w:val="%4."/>
      <w:lvlJc w:val="left"/>
      <w:pPr>
        <w:ind w:left="2880" w:hanging="360"/>
      </w:pPr>
    </w:lvl>
    <w:lvl w:ilvl="4" w:tplc="B2D425E4" w:tentative="1">
      <w:start w:val="1"/>
      <w:numFmt w:val="lowerLetter"/>
      <w:lvlText w:val="%5."/>
      <w:lvlJc w:val="left"/>
      <w:pPr>
        <w:ind w:left="3600" w:hanging="360"/>
      </w:pPr>
    </w:lvl>
    <w:lvl w:ilvl="5" w:tplc="0D26C36A" w:tentative="1">
      <w:start w:val="1"/>
      <w:numFmt w:val="lowerRoman"/>
      <w:lvlText w:val="%6."/>
      <w:lvlJc w:val="right"/>
      <w:pPr>
        <w:ind w:left="4320" w:hanging="180"/>
      </w:pPr>
    </w:lvl>
    <w:lvl w:ilvl="6" w:tplc="49243D22" w:tentative="1">
      <w:start w:val="1"/>
      <w:numFmt w:val="decimal"/>
      <w:lvlText w:val="%7."/>
      <w:lvlJc w:val="left"/>
      <w:pPr>
        <w:ind w:left="5040" w:hanging="360"/>
      </w:pPr>
    </w:lvl>
    <w:lvl w:ilvl="7" w:tplc="D1FC496E" w:tentative="1">
      <w:start w:val="1"/>
      <w:numFmt w:val="lowerLetter"/>
      <w:lvlText w:val="%8."/>
      <w:lvlJc w:val="left"/>
      <w:pPr>
        <w:ind w:left="5760" w:hanging="360"/>
      </w:pPr>
    </w:lvl>
    <w:lvl w:ilvl="8" w:tplc="58341656" w:tentative="1">
      <w:start w:val="1"/>
      <w:numFmt w:val="lowerRoman"/>
      <w:lvlText w:val="%9."/>
      <w:lvlJc w:val="right"/>
      <w:pPr>
        <w:ind w:left="6480" w:hanging="180"/>
      </w:pPr>
    </w:lvl>
  </w:abstractNum>
  <w:abstractNum w:abstractNumId="3" w15:restartNumberingAfterBreak="0">
    <w:nsid w:val="76B55770"/>
    <w:multiLevelType w:val="hybridMultilevel"/>
    <w:tmpl w:val="FBC8E680"/>
    <w:lvl w:ilvl="0" w:tplc="7960E32C">
      <w:start w:val="1"/>
      <w:numFmt w:val="decimal"/>
      <w:lvlText w:val="%1."/>
      <w:lvlJc w:val="left"/>
      <w:pPr>
        <w:ind w:left="720" w:hanging="360"/>
      </w:pPr>
      <w:rPr>
        <w:rFonts w:hint="default"/>
        <w:b w:val="0"/>
        <w:bCs w:val="0"/>
      </w:rPr>
    </w:lvl>
    <w:lvl w:ilvl="1" w:tplc="46F471A2" w:tentative="1">
      <w:start w:val="1"/>
      <w:numFmt w:val="lowerLetter"/>
      <w:lvlText w:val="%2."/>
      <w:lvlJc w:val="left"/>
      <w:pPr>
        <w:ind w:left="1440" w:hanging="360"/>
      </w:pPr>
    </w:lvl>
    <w:lvl w:ilvl="2" w:tplc="EC4CA1E4" w:tentative="1">
      <w:start w:val="1"/>
      <w:numFmt w:val="lowerRoman"/>
      <w:lvlText w:val="%3."/>
      <w:lvlJc w:val="right"/>
      <w:pPr>
        <w:ind w:left="2160" w:hanging="180"/>
      </w:pPr>
    </w:lvl>
    <w:lvl w:ilvl="3" w:tplc="1340FFC8" w:tentative="1">
      <w:start w:val="1"/>
      <w:numFmt w:val="decimal"/>
      <w:lvlText w:val="%4."/>
      <w:lvlJc w:val="left"/>
      <w:pPr>
        <w:ind w:left="2880" w:hanging="360"/>
      </w:pPr>
    </w:lvl>
    <w:lvl w:ilvl="4" w:tplc="317E260A" w:tentative="1">
      <w:start w:val="1"/>
      <w:numFmt w:val="lowerLetter"/>
      <w:lvlText w:val="%5."/>
      <w:lvlJc w:val="left"/>
      <w:pPr>
        <w:ind w:left="3600" w:hanging="360"/>
      </w:pPr>
    </w:lvl>
    <w:lvl w:ilvl="5" w:tplc="C126614C" w:tentative="1">
      <w:start w:val="1"/>
      <w:numFmt w:val="lowerRoman"/>
      <w:lvlText w:val="%6."/>
      <w:lvlJc w:val="right"/>
      <w:pPr>
        <w:ind w:left="4320" w:hanging="180"/>
      </w:pPr>
    </w:lvl>
    <w:lvl w:ilvl="6" w:tplc="05887700" w:tentative="1">
      <w:start w:val="1"/>
      <w:numFmt w:val="decimal"/>
      <w:lvlText w:val="%7."/>
      <w:lvlJc w:val="left"/>
      <w:pPr>
        <w:ind w:left="5040" w:hanging="360"/>
      </w:pPr>
    </w:lvl>
    <w:lvl w:ilvl="7" w:tplc="D2AA7C06" w:tentative="1">
      <w:start w:val="1"/>
      <w:numFmt w:val="lowerLetter"/>
      <w:lvlText w:val="%8."/>
      <w:lvlJc w:val="left"/>
      <w:pPr>
        <w:ind w:left="5760" w:hanging="360"/>
      </w:pPr>
    </w:lvl>
    <w:lvl w:ilvl="8" w:tplc="820A48C6"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450743"/>
    <w:docVar w:name="CourtID" w:val="30"/>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9450743&amp;lt;/CaseID&amp;gt;_x000d__x000a_        &amp;lt;DocumentID&amp;gt;443935428&amp;lt;/DocumentID&amp;gt;_x000d__x000a_      &amp;lt;/dt_DocumentCase&amp;gt;_x000d__x000a_      &amp;lt;dt_Document diffgr:id=&amp;quot;dt_Document1&amp;quot; msdata:rowOrder=&amp;quot;0&amp;quot;&amp;gt;_x000d__x000a_        &amp;lt;DocumentID&amp;gt;443935428&amp;lt;/DocumentID&amp;gt;_x000d__x000a_        &amp;lt;DocumentMainID&amp;gt;0&amp;lt;/DocumentMainID&amp;gt;_x000d__x000a_        &amp;lt;CaseID&amp;gt;79450743&amp;lt;/CaseID&amp;gt;_x000d__x000a_        &amp;lt;DocumentIncludedDate&amp;gt;2024-05-25T20:50:18.823+03:00&amp;lt;/DocumentIncludedDate&amp;gt;_x000d__x000a_        &amp;lt;DocumentDesc&amp;gt;החלטה  שניתנה ע&amp;quot;י  פאול שטרק&amp;lt;/DocumentDesc&amp;gt;_x000d__x000a_        &amp;lt;DocumentDirectionID&amp;gt;2&amp;lt;/DocumentDirectionID&amp;gt;_x000d__x000a_        &amp;lt;SourceID&amp;gt;1&amp;lt;/SourceID&amp;gt;_x000d__x000a_        &amp;lt;VersionNumber&amp;gt;2&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1&amp;lt;/DocumentTypeID&amp;gt;_x000d__x000a_        &amp;lt;DocumentSavingDate&amp;gt;2024-05-25T20:50:18.823+03:00&amp;lt;/DocumentSavingDate&amp;gt;_x000d__x000a_        &amp;lt;DocumentChangeDate&amp;gt;2024-05-25T20:50:18.933+03:00&amp;lt;/DocumentChangeDate&amp;gt;_x000d__x000a_        &amp;lt;IsScanned&amp;gt;false&amp;lt;/IsScanned&amp;gt;_x000d__x000a_        &amp;lt;PageQuantity&amp;gt;0&amp;lt;/PageQuantity&amp;gt;_x000d__x000a_        &amp;lt;DocumentStatusID&amp;gt;2&amp;lt;/DocumentStatusID&amp;gt;_x000d__x000a_        &amp;lt;DocumentStatusChangeDate&amp;gt;2024-05-25T20:50:18.933+03:00&amp;lt;/DocumentStatusChangeDate&amp;gt;_x000d__x000a_        &amp;lt;TemplateVersionID&amp;gt;1&amp;lt;/TemplateVersionID&amp;gt;_x000d__x000a_        &amp;lt;DocumentChangeUserID&amp;gt;013800818@GOV.IL&amp;lt;/DocumentChangeUserID&amp;gt;_x000d__x000a_        &amp;lt;DocumentCreationUserID&amp;gt;013800818@GOV.IL&amp;lt;/DocumentCreationUserID&amp;gt;_x000d__x000a_        &amp;lt;OriginalDocumentID&amp;gt;443632530&amp;lt;/OriginalDocumentID&amp;gt;_x000d__x000a_        &amp;lt;PrivillegeID&amp;gt;1&amp;lt;/PrivillegeID&amp;gt;_x000d__x000a_        &amp;lt;FromPage&amp;gt;0&amp;lt;/FromPage&amp;gt;_x000d__x000a_        &amp;lt;ToPage&amp;gt;0&amp;lt;/ToPage&amp;gt;_x000d__x000a_        &amp;lt;FileID&amp;gt;c9f6dfb08f010000090037f6aa253c82&amp;lt;/FileID&amp;gt;_x000d__x000a_        &amp;lt;URL&amp;gt;\\CTLNFSV02\doc_repository\12\839\596ecfa88f010000090037f6aa24b460_copy.docx&amp;lt;/URL&amp;gt;_x000d__x000a_        &amp;lt;OlivePriority&amp;gt;1&amp;lt;/OlivePriority&amp;gt;_x000d__x000a_        &amp;lt;MetaDataTypeID&amp;gt;1&amp;lt;/MetaDataTypeID&amp;gt;_x000d__x000a_        &amp;lt;MetaDataChangeDate&amp;gt;2024-05-25T20:50:18.933+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1&amp;amp;lt;/anyType&amp;amp;gt;_x000d__x000a_    &amp;amp;lt;anyType xsi:type=&amp;quot;xsd:string&amp;quot;&amp;amp;gt;1&amp;amp;lt;/anyType&amp;amp;gt;_x000d__x000a_    &amp;amp;lt;anyType xsi:type=&amp;quot;xsd:string&amp;quot;&amp;amp;gt;פאול שטרק&amp;amp;lt;/anyType&amp;amp;gt;_x000d__x000a_    &amp;amp;lt;anyType xsi:type=&amp;quot;xsd:dateTime&amp;quot;&amp;amp;gt;2024-05-21T17:26:02.643&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5-21T17:26:02.643+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E0DD2"/>
    <w:rsid w:val="000E3AF1"/>
    <w:rsid w:val="000F0BC8"/>
    <w:rsid w:val="000F0DD6"/>
    <w:rsid w:val="000F74DB"/>
    <w:rsid w:val="00107E6D"/>
    <w:rsid w:val="0011194C"/>
    <w:rsid w:val="0011424C"/>
    <w:rsid w:val="001173C6"/>
    <w:rsid w:val="00126AB8"/>
    <w:rsid w:val="001367BC"/>
    <w:rsid w:val="00144D2A"/>
    <w:rsid w:val="0014653E"/>
    <w:rsid w:val="00180519"/>
    <w:rsid w:val="00191C82"/>
    <w:rsid w:val="001C4003"/>
    <w:rsid w:val="001D4DBF"/>
    <w:rsid w:val="001E75CA"/>
    <w:rsid w:val="002265B9"/>
    <w:rsid w:val="002265FF"/>
    <w:rsid w:val="00235B97"/>
    <w:rsid w:val="00263E54"/>
    <w:rsid w:val="00271B56"/>
    <w:rsid w:val="002751D5"/>
    <w:rsid w:val="002C344E"/>
    <w:rsid w:val="002E75E9"/>
    <w:rsid w:val="002F0B1E"/>
    <w:rsid w:val="002F3B38"/>
    <w:rsid w:val="00307A6A"/>
    <w:rsid w:val="00307C40"/>
    <w:rsid w:val="00320433"/>
    <w:rsid w:val="003230C7"/>
    <w:rsid w:val="00327E50"/>
    <w:rsid w:val="0033597A"/>
    <w:rsid w:val="00343D89"/>
    <w:rsid w:val="00362612"/>
    <w:rsid w:val="0036743F"/>
    <w:rsid w:val="003715DD"/>
    <w:rsid w:val="003823E0"/>
    <w:rsid w:val="003A4521"/>
    <w:rsid w:val="003B0B8A"/>
    <w:rsid w:val="003B3E8D"/>
    <w:rsid w:val="003D05E6"/>
    <w:rsid w:val="003D1C8C"/>
    <w:rsid w:val="0040096C"/>
    <w:rsid w:val="00414F1F"/>
    <w:rsid w:val="00423955"/>
    <w:rsid w:val="0043125D"/>
    <w:rsid w:val="0043502B"/>
    <w:rsid w:val="004443AC"/>
    <w:rsid w:val="00444B02"/>
    <w:rsid w:val="00451E28"/>
    <w:rsid w:val="004549C7"/>
    <w:rsid w:val="00462C62"/>
    <w:rsid w:val="00465D36"/>
    <w:rsid w:val="004C17EE"/>
    <w:rsid w:val="004C4BDF"/>
    <w:rsid w:val="004D1187"/>
    <w:rsid w:val="004D3AA0"/>
    <w:rsid w:val="004E1987"/>
    <w:rsid w:val="004E2E15"/>
    <w:rsid w:val="004E6E3C"/>
    <w:rsid w:val="004F53F0"/>
    <w:rsid w:val="00511B90"/>
    <w:rsid w:val="00520898"/>
    <w:rsid w:val="00523621"/>
    <w:rsid w:val="00524986"/>
    <w:rsid w:val="005268F6"/>
    <w:rsid w:val="00534284"/>
    <w:rsid w:val="00547DB7"/>
    <w:rsid w:val="005924A0"/>
    <w:rsid w:val="00594B91"/>
    <w:rsid w:val="005C0627"/>
    <w:rsid w:val="005F4F09"/>
    <w:rsid w:val="0061431B"/>
    <w:rsid w:val="00622BAA"/>
    <w:rsid w:val="006306CF"/>
    <w:rsid w:val="006318D8"/>
    <w:rsid w:val="00644E9A"/>
    <w:rsid w:val="00671BD5"/>
    <w:rsid w:val="006805C1"/>
    <w:rsid w:val="00686C21"/>
    <w:rsid w:val="006931C1"/>
    <w:rsid w:val="00694556"/>
    <w:rsid w:val="006B7258"/>
    <w:rsid w:val="006C30C5"/>
    <w:rsid w:val="006D00A3"/>
    <w:rsid w:val="006D3B31"/>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0492C"/>
    <w:rsid w:val="00814468"/>
    <w:rsid w:val="008176A1"/>
    <w:rsid w:val="00820005"/>
    <w:rsid w:val="00823131"/>
    <w:rsid w:val="00841158"/>
    <w:rsid w:val="00844318"/>
    <w:rsid w:val="00851257"/>
    <w:rsid w:val="00863F5D"/>
    <w:rsid w:val="00866E5A"/>
    <w:rsid w:val="00870890"/>
    <w:rsid w:val="00870C08"/>
    <w:rsid w:val="00873602"/>
    <w:rsid w:val="00875D12"/>
    <w:rsid w:val="0088479D"/>
    <w:rsid w:val="00884CB9"/>
    <w:rsid w:val="00884DC4"/>
    <w:rsid w:val="00891F42"/>
    <w:rsid w:val="00896889"/>
    <w:rsid w:val="008A59EE"/>
    <w:rsid w:val="008A6E97"/>
    <w:rsid w:val="008C5714"/>
    <w:rsid w:val="008D10B2"/>
    <w:rsid w:val="008F4155"/>
    <w:rsid w:val="00903896"/>
    <w:rsid w:val="00906F3D"/>
    <w:rsid w:val="0094424E"/>
    <w:rsid w:val="00955642"/>
    <w:rsid w:val="009622DF"/>
    <w:rsid w:val="0096493F"/>
    <w:rsid w:val="00967DFF"/>
    <w:rsid w:val="009777CA"/>
    <w:rsid w:val="00994341"/>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C5857"/>
    <w:rsid w:val="00AE0E34"/>
    <w:rsid w:val="00AE729E"/>
    <w:rsid w:val="00AE7752"/>
    <w:rsid w:val="00AF7FDA"/>
    <w:rsid w:val="00B3085D"/>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03320"/>
    <w:rsid w:val="00C22D93"/>
    <w:rsid w:val="00C23458"/>
    <w:rsid w:val="00C31120"/>
    <w:rsid w:val="00C337F2"/>
    <w:rsid w:val="00C34482"/>
    <w:rsid w:val="00C43648"/>
    <w:rsid w:val="00C50A9F"/>
    <w:rsid w:val="00C642FA"/>
    <w:rsid w:val="00CA1DE1"/>
    <w:rsid w:val="00CB30D1"/>
    <w:rsid w:val="00CC0D65"/>
    <w:rsid w:val="00CC7622"/>
    <w:rsid w:val="00CD0887"/>
    <w:rsid w:val="00CD4433"/>
    <w:rsid w:val="00CD516B"/>
    <w:rsid w:val="00CD608F"/>
    <w:rsid w:val="00CE0084"/>
    <w:rsid w:val="00CF6BB7"/>
    <w:rsid w:val="00D04AA4"/>
    <w:rsid w:val="00D27982"/>
    <w:rsid w:val="00D33B86"/>
    <w:rsid w:val="00D44968"/>
    <w:rsid w:val="00D53924"/>
    <w:rsid w:val="00D55D0C"/>
    <w:rsid w:val="00D84EE3"/>
    <w:rsid w:val="00D96D8C"/>
    <w:rsid w:val="00DA6649"/>
    <w:rsid w:val="00DC1259"/>
    <w:rsid w:val="00DC1BD2"/>
    <w:rsid w:val="00DC2571"/>
    <w:rsid w:val="00DC487C"/>
    <w:rsid w:val="00DD4335"/>
    <w:rsid w:val="00DE1E7D"/>
    <w:rsid w:val="00DE6BF6"/>
    <w:rsid w:val="00DE6F99"/>
    <w:rsid w:val="00DF1919"/>
    <w:rsid w:val="00E1068A"/>
    <w:rsid w:val="00E25884"/>
    <w:rsid w:val="00E25B55"/>
    <w:rsid w:val="00E31C2B"/>
    <w:rsid w:val="00E5426A"/>
    <w:rsid w:val="00E54642"/>
    <w:rsid w:val="00E765F7"/>
    <w:rsid w:val="00E80CBE"/>
    <w:rsid w:val="00E9269D"/>
    <w:rsid w:val="00E962E3"/>
    <w:rsid w:val="00EB6C79"/>
    <w:rsid w:val="00EC37E9"/>
    <w:rsid w:val="00ED4938"/>
    <w:rsid w:val="00F038D8"/>
    <w:rsid w:val="00F06995"/>
    <w:rsid w:val="00F12D66"/>
    <w:rsid w:val="00F13623"/>
    <w:rsid w:val="00F44D1D"/>
    <w:rsid w:val="00F84B6D"/>
    <w:rsid w:val="00F9252A"/>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3D05E6"/>
    <w:pPr>
      <w:bidi w:val="0"/>
      <w:spacing w:after="160" w:line="259" w:lineRule="auto"/>
      <w:ind w:left="720"/>
      <w:contextualSpacing/>
    </w:pPr>
    <w:rPr>
      <w:rFonts w:asciiTheme="minorHAnsi" w:eastAsiaTheme="minorHAnsi" w:hAnsiTheme="minorHAnsi" w:cstheme="minorBidi"/>
      <w:noProof w:val="0"/>
      <w:kern w:val="2"/>
      <w:sz w:val="22"/>
      <w:szCs w:val="22"/>
      <w14:ligatures w14:val="standardContextual"/>
    </w:rPr>
  </w:style>
  <w:style w:type="paragraph" w:customStyle="1" w:styleId="Ruller5">
    <w:name w:val="Ruller5"/>
    <w:basedOn w:val="a"/>
    <w:rsid w:val="003D05E6"/>
    <w:pPr>
      <w:overflowPunct w:val="0"/>
      <w:autoSpaceDE w:val="0"/>
      <w:autoSpaceDN w:val="0"/>
      <w:adjustRightInd w:val="0"/>
      <w:ind w:left="1642" w:right="1282"/>
      <w:jc w:val="both"/>
      <w:textAlignment w:val="baseline"/>
    </w:pPr>
    <w:rPr>
      <w:rFonts w:ascii="Arial TUR" w:hAnsi="Arial TUR" w:cs="FrankRuehl"/>
      <w:noProof w:val="0"/>
      <w:spacing w:val="10"/>
      <w:sz w:val="22"/>
      <w:szCs w:val="28"/>
    </w:rPr>
  </w:style>
  <w:style w:type="paragraph" w:customStyle="1" w:styleId="Ruller4">
    <w:name w:val="Ruller 4 ממוספר"/>
    <w:basedOn w:val="a"/>
    <w:next w:val="a"/>
    <w:rsid w:val="003D05E6"/>
    <w:pPr>
      <w:numPr>
        <w:numId w:val="3"/>
      </w:numPr>
      <w:tabs>
        <w:tab w:val="left" w:pos="800"/>
      </w:tabs>
      <w:overflowPunct w:val="0"/>
      <w:autoSpaceDE w:val="0"/>
      <w:autoSpaceDN w:val="0"/>
      <w:adjustRightInd w:val="0"/>
      <w:spacing w:line="360" w:lineRule="auto"/>
      <w:jc w:val="both"/>
      <w:textAlignment w:val="baseline"/>
    </w:pPr>
    <w:rPr>
      <w:rFonts w:ascii="Garamond" w:hAnsi="Garamond" w:cs="FrankRuehl"/>
      <w:noProof w:val="0"/>
      <w:spacing w:val="1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74356" w:rsidP="00A74356">
          <w:pPr>
            <w:pStyle w:val="E460D38E05664FF79D4EFF282EF8EC9931"/>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A74356" w:rsidP="00A74356">
          <w:pPr>
            <w:pStyle w:val="D290653DA13E4E738B7E725F79D7332924"/>
          </w:pPr>
          <w:r>
            <w:rPr>
              <w:rFonts w:hint="eastAsia"/>
              <w:sz w:val="20"/>
              <w:szCs w:val="20"/>
              <w:rtl/>
            </w:rPr>
            <w:t>מספר</w:t>
          </w:r>
          <w:r>
            <w:rPr>
              <w:sz w:val="20"/>
              <w:szCs w:val="20"/>
              <w:rtl/>
            </w:rPr>
            <w:t xml:space="preserve"> תיק חיצוני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A74356" w:rsidP="00A74356">
          <w:pPr>
            <w:pStyle w:val="1C8A38705F7143EA87FF3DEB2C34E7E56"/>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A74356" w:rsidP="00A74356">
          <w:pPr>
            <w:pStyle w:val="4DC45A2FD697422FAA3CD896A84FA7B46"/>
          </w:pPr>
          <w:r w:rsidRPr="00CD516B">
            <w:rPr>
              <w:rFonts w:ascii="Arial" w:hAnsi="Arial"/>
              <w:b/>
              <w:bCs/>
              <w:noProof w:val="0"/>
              <w:sz w:val="26"/>
              <w:szCs w:val="26"/>
              <w:rtl/>
            </w:rPr>
            <w:t>שם צד ב' ללא שם של חסוי</w:t>
          </w:r>
        </w:p>
      </w:docPartBody>
    </w:docPart>
    <w:docPart>
      <w:docPartPr>
        <w:name w:val="E94836ADA6264C72A55F651E19C4C7A6"/>
        <w:category>
          <w:name w:val="כללי"/>
          <w:gallery w:val="placeholder"/>
        </w:category>
        <w:types>
          <w:type w:val="bbPlcHdr"/>
        </w:types>
        <w:behaviors>
          <w:behavior w:val="content"/>
        </w:behaviors>
        <w:guid w:val="{A0E10C2F-5C5A-45D6-A5C8-AC7BEA29373A}"/>
      </w:docPartPr>
      <w:docPartBody>
        <w:p w:rsidR="00D6580E" w:rsidRDefault="00A74356" w:rsidP="00A74356">
          <w:pPr>
            <w:pStyle w:val="E94836ADA6264C72A55F651E19C4C7A65"/>
          </w:pPr>
          <w:r w:rsidRPr="00B62AD7">
            <w:rPr>
              <w:b/>
              <w:bCs/>
              <w:sz w:val="26"/>
              <w:szCs w:val="26"/>
              <w:rtl/>
            </w:rPr>
            <w:t xml:space="preserve">שם צד ג' ללא </w:t>
          </w:r>
          <w:r>
            <w:rPr>
              <w:b/>
              <w:bCs/>
              <w:sz w:val="26"/>
              <w:szCs w:val="26"/>
              <w:rtl/>
            </w:rPr>
            <w:t xml:space="preserve"> </w:t>
          </w:r>
          <w:r w:rsidRPr="00B62AD7">
            <w:rPr>
              <w:b/>
              <w:bCs/>
              <w:sz w:val="26"/>
              <w:szCs w:val="26"/>
              <w:rtl/>
            </w:rPr>
            <w:t>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169EA"/>
    <w:rsid w:val="002D02C4"/>
    <w:rsid w:val="002D09CE"/>
    <w:rsid w:val="00345C9D"/>
    <w:rsid w:val="0048651F"/>
    <w:rsid w:val="004B017A"/>
    <w:rsid w:val="005157ED"/>
    <w:rsid w:val="00556D67"/>
    <w:rsid w:val="00673B50"/>
    <w:rsid w:val="00793995"/>
    <w:rsid w:val="007C6F98"/>
    <w:rsid w:val="007E254A"/>
    <w:rsid w:val="008B4366"/>
    <w:rsid w:val="009133C7"/>
    <w:rsid w:val="009178E4"/>
    <w:rsid w:val="00961B27"/>
    <w:rsid w:val="00990B77"/>
    <w:rsid w:val="009A36E7"/>
    <w:rsid w:val="00A74356"/>
    <w:rsid w:val="00AA7CE3"/>
    <w:rsid w:val="00B50DB2"/>
    <w:rsid w:val="00B72BC2"/>
    <w:rsid w:val="00B91FA3"/>
    <w:rsid w:val="00BD69D1"/>
    <w:rsid w:val="00BE6557"/>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79450743</CaseID>
    <CaseJudicialPersonPresentationDS>
      <CaseJudicalPersonActive>
        <CaseID>79450743</CaseID>
        <JudicialPersonID>013800818@GOV.IL</JudicialPersonID>
        <JudicialPersonTypeID>1</JudicialPersonTypeID>
        <JudicialTypeID>1</JudicialTypeID>
        <IsChairman>false</IsChairman>
        <TreatmentStartDate>2023-01-01T15:10:32.78+02:00</TreatmentStartDate>
        <TreatmentFinishDate>9999-12-31T23:59:59.997+02:00</TreatmentFinishDate>
        <IdentificationCardNumber>013800818</IdentificationCardNumber>
        <DisplayName>פאול שטרק</DisplayName>
        <JudicialTypeName>שופט</JudicialTypeName>
        <CaseJudicialGroupNumber>0</CaseJudicialGroupNumber>
        <FirstName>פאול</FirstName>
        <LastName>שטרק</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אחר</RoleName>
        <IsSubProceeding>FALSE</IsSubProceeding>
        <FullName>מחלקה לחקירות שוטרים - מח"ש</FullName>
        <LastName>מחלקה לחקירות שוטרים - מח"ש</LastName>
        <PartyPropertyName/>
        <AuthenticationTypeAndNumber>משרדי ממשלה 570000778</AuthenticationTypeAndNumber>
        <RepresentatedOrRepresentativesNames/>
        <RepresentatedOrRepresentativesCount>0</RepresentatedOrRepresentativesCount>
        <InvitedBy/>
        <CaseID>79450743</CaseID>
        <CaseJudicialPersonPresentationDS>
          <CaseJudicalPersonActive>
            <CaseID>79450743</CaseID>
            <JudicialPersonID>013800818@GOV.IL</JudicialPersonID>
            <JudicialPersonTypeID>1</JudicialPersonTypeID>
            <JudicialTypeID>1</JudicialTypeID>
            <IsChairman>false</IsChairman>
            <TreatmentStartDate>2023-01-01T15:10:32.78+02:00</TreatmentStartDate>
            <TreatmentFinishDate>9999-12-31T23:59:59.997+02:00</TreatmentFinishDate>
            <IdentificationCardNumber>013800818</IdentificationCardNumber>
            <DisplayName>פאול שטרק</DisplayName>
            <JudicialTypeName>שופט</JudicialTypeName>
            <CaseJudicialGroupNumber>0</CaseJudicialGroupNumber>
            <FirstName>פאול</FirstName>
            <LastName>שטרק</LastName>
            <JudicialPersonTitle>שופט</JudicialPersonTitle>
          </CaseJudicalPersonActive>
        </CaseJudicialPersonPresentationDS>
        <CasePartyID>268468200</CasePartyID>
        <PartyTypeID>3</PartyTypeID>
        <ActivityStatusID>1</ActivityStatusID>
        <LegalEntityID>21034082</LegalEntityID>
        <CaseLegalEntityID>128377902</CaseLegalEntityID>
        <AssistantRoleID>33</AssistantRoleID>
        <AuthenticationTypeID>13</AuthenticationTypeID>
        <AuthenticationTypeName>משרדי ממשלה</AuthenticationTypeName>
        <LegalEntityNumber>570000778</LegalEntityNumber>
        <IsMainPartyType>true</IsMainPartyType>
        <CaseDisplayIdentifier>35828-07-22</CaseDisplayIdentifier>
        <CaseTypeID>10048</CaseTypeID>
        <CaseTypeName>תיק פלילי (ת"פ)</CaseTypeName>
        <CaseName>מדינת ישראל נ' כהן</CaseName>
        <FullAddress>ת.ד 45208 ירושלים הרטום 8 הר החוצבים</FullAddress>
        <MotionID>0</MotionID>
        <CasePleaID>0</CasePleaID>
        <LinkedCaseID>0</LinkedCaseID>
        <PartyID>1</PartyID>
        <CasePartyCategoryID>2</CasePartyCategoryID>
        <LegalEntityAddressID>33486458</LegalEntityAddressID>
        <PleaTypeID>8</PleaTypeID>
        <GroupPartyAlias/>
        <IsConverted>false</IsConverted>
        <LegalEntityRegisteredNameID>1807746</LegalEntityRegisteredNameID>
        <RepresentatedNamesOfAssistant/>
        <LegalEntityTypeID>3</LegalEntityTypeID>
        <IsVerdictExists>false</IsVerdictExists>
        <IsAsirAzir>false</IsAsirAzir>
        <IsPublicationProhibited>false</IsPublicationProhibited>
        <PublicationProhibitedFullName>מחלקה לחקירות שוטרים - מח"ש</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יפתח לנדאו</FullName>
        <FirstName>יפתח</FirstName>
        <LastName>לנדאו</LastName>
        <PartyPropertyName/>
        <AuthenticationTypeAndNumber>מ.ר. 64699</AuthenticationTypeAndNumber>
        <RepresentatedOrRepresentativesNames>ליאור כהן</RepresentatedOrRepresentativesNames>
        <RepresentatedOrRepresentativesCount>1</RepresentatedOrRepresentativesCount>
        <InvitedBy/>
        <CaseID>79450743</CaseID>
        <CaseJudicialPersonPresentationDS>
          <CaseJudicalPersonActive>
            <CaseID>79450743</CaseID>
            <JudicialPersonID>013800818@GOV.IL</JudicialPersonID>
            <JudicialPersonTypeID>1</JudicialPersonTypeID>
            <JudicialTypeID>1</JudicialTypeID>
            <IsChairman>false</IsChairman>
            <TreatmentStartDate>2023-01-01T15:10:32.78+02:00</TreatmentStartDate>
            <TreatmentFinishDate>9999-12-31T23:59:59.997+02:00</TreatmentFinishDate>
            <IdentificationCardNumber>013800818</IdentificationCardNumber>
            <DisplayName>פאול שטרק</DisplayName>
            <JudicialTypeName>שופט</JudicialTypeName>
            <CaseJudicialGroupNumber>0</CaseJudicialGroupNumber>
            <FirstName>פאול</FirstName>
            <LastName>שטרק</LastName>
            <JudicialPersonTitle>שופט</JudicialPersonTitle>
          </CaseJudicalPersonActive>
        </CaseJudicialPersonPresentationDS>
        <CasePartyID>244985092</CasePartyID>
        <PartyTypeID>2</PartyTypeID>
        <ActivityStatusID>1</ActivityStatusID>
        <PartyAliasID>32</PartyAliasID>
        <PartyAliasName>בא כוח נאשמים</PartyAliasName>
        <LegalEntityID>73470798</LegalEntityID>
        <CaseLegalEntityID>121023955</CaseLegalEntityID>
        <AuthenticationTypeID>4</AuthenticationTypeID>
        <AuthenticationTypeName>מ.ר.</AuthenticationTypeName>
        <LegalEntityNumber>64699</LegalEntityNumber>
        <IsMainPartyType>true</IsMainPartyType>
        <CaseDisplayIdentifier>35828-07-22</CaseDisplayIdentifier>
        <CaseTypeID>10048</CaseTypeID>
        <CaseTypeName>תיק פלילי (ת"פ)</CaseTypeName>
        <CaseName>מדינת ישראל נ' כהן</CaseName>
        <FullAddress>תקוע 290 תקוע </FullAddress>
        <EmailAddress>ylbeka@gmail.com</EmailAddress>
        <MotionID>0</MotionID>
        <CasePleaID>0</CasePleaID>
        <LinkedCaseID>0</LinkedCaseID>
        <PartyID>2</PartyID>
        <CasePartyCategoryID>2</CasePartyCategoryID>
        <LegalEntityAddressID>75848543</LegalEntityAddressID>
        <LegalEntityEmailAddressID>67860792</LegalEntityEmailAddressID>
        <PleaTypeID>8</PleaTypeID>
        <LawyerOfficeName>משרד עו"ד יפתח לנדאו</LawyerOfficeName>
        <LawyerOfficeID>73470799</LawyerOfficeID>
        <GroupPartyAlias/>
        <IsConverted>false</IsConverted>
        <LegalEntityNameID>78226228</LegalEntityNameID>
        <RepresentatedNamesOfAssistant/>
        <LegalEntityTypeID>4</LegalEntityTypeID>
        <IsVerdictExists>false</IsVerdictExists>
        <IsAsirAzir>false</IsAsirAzir>
        <IsPublicationProhibited>false</IsPublicationProhibited>
        <PublicationProhibitedFullName>יפתח לנדאו</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יהודה בלבן</RepresentatedOrRepresentativesNames>
        <RepresentatedOrRepresentativesCount>1</RepresentatedOrRepresentativesCount>
        <InvitedBy/>
        <CaseID>79450743</CaseID>
        <CaseJudicialPersonPresentationDS>
          <CaseJudicalPersonActive>
            <CaseID>79450743</CaseID>
            <JudicialPersonID>013800818@GOV.IL</JudicialPersonID>
            <JudicialPersonTypeID>1</JudicialPersonTypeID>
            <JudicialTypeID>1</JudicialTypeID>
            <IsChairman>false</IsChairman>
            <TreatmentStartDate>2023-01-01T15:10:32.78+02:00</TreatmentStartDate>
            <TreatmentFinishDate>9999-12-31T23:59:59.997+02:00</TreatmentFinishDate>
            <IdentificationCardNumber>013800818</IdentificationCardNumber>
            <DisplayName>פאול שטרק</DisplayName>
            <JudicialTypeName>שופט</JudicialTypeName>
            <CaseJudicialGroupNumber>0</CaseJudicialGroupNumber>
            <FirstName>פאול</FirstName>
            <LastName>שטרק</LastName>
            <JudicialPersonTitle>שופט</JudicialPersonTitle>
          </CaseJudicalPersonActive>
        </CaseJudicialPersonPresentationDS>
        <CasePartyID>243758764</CasePartyID>
        <PartyTypeID>1</PartyTypeID>
        <ActivityStatusID>1</ActivityStatusID>
        <PartyAliasID>11</PartyAliasID>
        <PartyAliasName>מאשימה</PartyAliasName>
        <OrdinalNumber>1</OrdinalNumber>
        <LegalEntityID>4</LegalEntityID>
        <CaseLegalEntityID>120589130</CaseLegalEntityID>
        <AuthenticationTypeID>41</AuthenticationTypeID>
        <AuthenticationTypeName>מדינת ישראל </AuthenticationTypeName>
        <LegalEntityNumber/>
        <IsMainPartyType>true</IsMainPartyType>
        <CaseDisplayIdentifier>35828-07-22</CaseDisplayIdentifier>
        <CaseTypeID>10048</CaseTypeID>
        <CaseTypeName>תיק פלילי (ת"פ)</CaseTypeName>
        <CaseName>מדינת ישראל נ' כהן</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יהודה בלבן</FullName>
        <FirstName>יהודה</FirstName>
        <LastName>בלבן</LastName>
        <PartyPropertyName/>
        <AuthenticationTypeAndNumber>מ.ר. 15065</AuthenticationTypeAndNumber>
        <RepresentatedOrRepresentativesNames xml:space="preserve"> </RepresentatedOrRepresentativesNames>
        <RepresentatedOrRepresentativesCount>1</RepresentatedOrRepresentativesCount>
        <InvitedBy/>
        <CaseID>79450743</CaseID>
        <CaseJudicialPersonPresentationDS>
          <CaseJudicalPersonActive>
            <CaseID>79450743</CaseID>
            <JudicialPersonID>013800818@GOV.IL</JudicialPersonID>
            <JudicialPersonTypeID>1</JudicialPersonTypeID>
            <JudicialTypeID>1</JudicialTypeID>
            <IsChairman>false</IsChairman>
            <TreatmentStartDate>2023-01-01T15:10:32.78+02:00</TreatmentStartDate>
            <TreatmentFinishDate>9999-12-31T23:59:59.997+02:00</TreatmentFinishDate>
            <IdentificationCardNumber>013800818</IdentificationCardNumber>
            <DisplayName>פאול שטרק</DisplayName>
            <JudicialTypeName>שופט</JudicialTypeName>
            <CaseJudicialGroupNumber>0</CaseJudicialGroupNumber>
            <FirstName>פאול</FirstName>
            <LastName>שטרק</LastName>
            <JudicialPersonTitle>שופט</JudicialPersonTitle>
          </CaseJudicalPersonActive>
        </CaseJudicialPersonPresentationDS>
        <CasePartyID>243758765</CasePartyID>
        <PartyTypeID>2</PartyTypeID>
        <ActivityStatusID>1</ActivityStatusID>
        <PartyAliasID>30</PartyAliasID>
        <PartyAliasName>בא כוח מאשימה</PartyAliasName>
        <OrdinalNumber>1</OrdinalNumber>
        <LegalEntityID>15881033</LegalEntityID>
        <CaseLegalEntityID>120589131</CaseLegalEntityID>
        <AuthenticationTypeID>4</AuthenticationTypeID>
        <AuthenticationTypeName>מ.ר.</AuthenticationTypeName>
        <LegalEntityNumber>15065</LegalEntityNumber>
        <IsMainPartyType>true</IsMainPartyType>
        <CaseDisplayIdentifier>35828-07-22</CaseDisplayIdentifier>
        <CaseTypeID>10048</CaseTypeID>
        <CaseTypeName>תיק פלילי (ת"פ)</CaseTypeName>
        <CaseName>מדינת ישראל נ' כהן</CaseName>
        <FullAddress>יפו 30 ירושלים </FullAddress>
        <MotionID>0</MotionID>
        <CasePleaID>0</CasePleaID>
        <LinkedCaseID>0</LinkedCaseID>
        <PartyID>1</PartyID>
        <CasePartyCategoryID>2</CasePartyCategoryID>
        <LegalEntityAddressID>379270</LegalEntityAddressID>
        <PleaTypeID>8</PleaTypeID>
        <LawyerOfficeName>משטרה - תביעות מחוז ירושלים </LawyerOfficeName>
        <LawyerOfficeID>379138</LawyerOfficeID>
        <GroupPartyAlias/>
        <IsConverted>false</IsConverted>
        <LegalEntityNameID>17528134</LegalEntityNameID>
        <RepresentatedNamesOfAssistant/>
        <LegalEntityTypeID>4</LegalEntityTypeID>
        <IsVerdictExists>false</IsVerdictExists>
        <IsAsirAzir>false</IsAsirAzir>
        <IsPublicationProhibited>false</IsPublicationProhibited>
        <PublicationProhibitedFullName>יהודה בלבן</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ליאור כהן</FullName>
        <FirstName>ליאור</FirstName>
        <LastName>כהן</LastName>
        <PartyPropertyName/>
        <AuthenticationTypeAndNumber>ת"ז 038337812</AuthenticationTypeAndNumber>
        <RepresentatedOrRepresentativesNames>יפתח לנדאו</RepresentatedOrRepresentativesNames>
        <RepresentatedOrRepresentativesCount>1</RepresentatedOrRepresentativesCount>
        <InvitedBy/>
        <CaseID>79450743</CaseID>
        <CaseJudicialPersonPresentationDS>
          <CaseJudicalPersonActive>
            <CaseID>79450743</CaseID>
            <JudicialPersonID>013800818@GOV.IL</JudicialPersonID>
            <JudicialPersonTypeID>1</JudicialPersonTypeID>
            <JudicialTypeID>1</JudicialTypeID>
            <IsChairman>false</IsChairman>
            <TreatmentStartDate>2023-01-01T15:10:32.78+02:00</TreatmentStartDate>
            <TreatmentFinishDate>9999-12-31T23:59:59.997+02:00</TreatmentFinishDate>
            <IdentificationCardNumber>013800818</IdentificationCardNumber>
            <DisplayName>פאול שטרק</DisplayName>
            <JudicialTypeName>שופט</JudicialTypeName>
            <CaseJudicialGroupNumber>0</CaseJudicialGroupNumber>
            <FirstName>פאול</FirstName>
            <LastName>שטרק</LastName>
            <JudicialPersonTitle>שופט</JudicialPersonTitle>
          </CaseJudicalPersonActive>
        </CaseJudicialPersonPresentationDS>
        <CasePartyID>243758766</CasePartyID>
        <PartyTypeID>1</PartyTypeID>
        <ActivityStatusID>1</ActivityStatusID>
        <PartyAliasID>13</PartyAliasID>
        <PartyAliasName>נאשם</PartyAliasName>
        <OrdinalNumber>1</OrdinalNumber>
        <LegalEntityID>69898753</LegalEntityID>
        <CaseLegalEntityID>120589132</CaseLegalEntityID>
        <AuthenticationTypeID>1</AuthenticationTypeID>
        <AuthenticationTypeName>ת"ז</AuthenticationTypeName>
        <LegalEntityNumber>038337812</LegalEntityNumber>
        <IsMainPartyType>true</IsMainPartyType>
        <CaseDisplayIdentifier>35828-07-22</CaseDisplayIdentifier>
        <CaseTypeID>10048</CaseTypeID>
        <CaseTypeName>תיק פלילי (ת"פ)</CaseTypeName>
        <CaseName>מדינת ישראל נ' כהן</CaseName>
        <FullAddress>ניקובה רינה 2 ירושלים </FullAddress>
        <MotionID>0</MotionID>
        <CasePleaID>0</CasePleaID>
        <BirthDate>1976-01-02T00:00:00+02:00</BirthDate>
        <FatherName>רחמים</FatherName>
        <LinkedCaseID>0</LinkedCaseID>
        <PartyID>2</PartyID>
        <CasePartyCategoryID>2</CasePartyCategoryID>
        <LegalEntityAddressID>86761802</LegalEntityAddressID>
        <FictitiousPoliceNumber/>
        <PleaTypeID>8</PleaTypeID>
        <GroupPartyAlias>נאשמים</GroupPartyAlias>
        <IsConverted>false</IsConverted>
        <LegalEntityRegisteredNameID>2365037</LegalEntityRegisteredNameID>
        <LegalEntityNameID>93422555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ליאור כהן</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ירושלים</FullName>
        <LastName>שרות מבחן למבוגרים - ירושלים</LastName>
        <PartyPropertyName/>
        <AuthenticationTypeAndNumber>משרדי ממשלה 500106275</AuthenticationTypeAndNumber>
        <RepresentatedOrRepresentativesNames/>
        <RepresentatedOrRepresentativesCount>0</RepresentatedOrRepresentativesCount>
        <InvitedBy/>
        <CaseID>79450743</CaseID>
        <CaseJudicialPersonPresentationDS>
          <CaseJudicalPersonActive>
            <CaseID>79450743</CaseID>
            <JudicialPersonID>013800818@GOV.IL</JudicialPersonID>
            <JudicialPersonTypeID>1</JudicialPersonTypeID>
            <JudicialTypeID>1</JudicialTypeID>
            <IsChairman>false</IsChairman>
            <TreatmentStartDate>2023-01-01T15:10:32.78+02:00</TreatmentStartDate>
            <TreatmentFinishDate>9999-12-31T23:59:59.997+02:00</TreatmentFinishDate>
            <IdentificationCardNumber>013800818</IdentificationCardNumber>
            <DisplayName>פאול שטרק</DisplayName>
            <JudicialTypeName>שופט</JudicialTypeName>
            <CaseJudicialGroupNumber>0</CaseJudicialGroupNumber>
            <FirstName>פאול</FirstName>
            <LastName>שטרק</LastName>
            <JudicialPersonTitle>שופט</JudicialPersonTitle>
          </CaseJudicalPersonActive>
        </CaseJudicialPersonPresentationDS>
        <CasePartyID>243758763</CasePartyID>
        <PartyTypeID>3</PartyTypeID>
        <ActivityStatusID>1</ActivityStatusID>
        <OrdinalNumber>2</OrdinalNumber>
        <LegalEntityID>2116683</LegalEntityID>
        <CaseLegalEntityID>120589129</CaseLegalEntityID>
        <AssistantRoleID>14</AssistantRoleID>
        <AuthenticationTypeID>13</AuthenticationTypeID>
        <AuthenticationTypeName>משרדי ממשלה</AuthenticationTypeName>
        <LegalEntityNumber>500106275</LegalEntityNumber>
        <IsMainPartyType>true</IsMainPartyType>
        <CaseDisplayIdentifier>35828-07-22</CaseDisplayIdentifier>
        <CaseTypeID>10048</CaseTypeID>
        <CaseTypeName>תיק פלילי (ת"פ)</CaseTypeName>
        <CaseName>מדינת ישראל נ' כהן</CaseName>
        <FullAddress>רח' יפו 236 ירושלים מגדל דניאל</FullAddress>
        <EmailAddress>f2m_025085782@molsa.gov.il</EmailAddress>
        <MotionID>0</MotionID>
        <CasePleaID>0</CasePleaID>
        <LinkedCaseID>0</LinkedCaseID>
        <CasePartyCategoryID>2</CasePartyCategoryID>
        <LegalEntityAddressID>7615788</LegalEntityAddressID>
        <LegalEntityEmailAddressID>67904629</LegalEntityEmailAddressID>
        <PleaTypeID>8</PleaTypeID>
        <GroupPartyAlias/>
        <IsConverted>false</IsConverted>
        <LegalEntityRegisteredNameID>335181</LegalEntityRegisteredNameID>
        <RepresentatedNamesOfAssistant/>
        <LegalEntityTypeID>3</LegalEntityTypeID>
        <IsVerdictExists>false</IsVerdictExists>
        <IsAsirAzir>false</IsAsirAzir>
        <IsPublicationProhibited>false</IsPublicationProhibited>
        <PublicationProhibitedFullName>שרות מבחן למבוגרים - ירושלים</PublicationProhibitedFullName>
      </CaseParties>
    </CasePartiesSelectionDS>
    <DecisionName>החלטה  שניתנה ע"י  פאול שטרק</DecisionName>
    <CourtDisplayName>בית משפט השלום בירושלים</CourtDisplayName>
    <IsCaseJudgePanel>false</IsCaseJudgePanel>
    <DecisionSignatureDate>2024-05-21T17:14:40.1252078+03:00</DecisionSignatureDate>
    <OpenCaseDate>2022-07-18T15:18:00+03:00</OpenCaseDate>
    <ExternalCaseNumber>937084/2020</ExternalCaseNumber>
    <DecisionTypeID>1</DecisionTypeID>
    <DecisionSignatureUserName>פאול שטרק</DecisionSignatureUserName>
    <DecisionSignatureDateHebrew>2024-05-21T17:14:40.1252078+03:00</DecisionSignatureDateHebrew>
    <DecisionWriterID>013800818@GOV.IL</DecisionWriterID>
    <CourtAddress>רח' חשין 6, ירושלים 9515601</CourtAddress>
    <IsAutoTextInCaseExist>false</IsAutoTextInCaseExist>
    <DecisionSignatureRoleName>שופט</DecisionSignatureRoleName>
    <DecisionSignatureUserTitleName>שופט</DecisionSignatureUserTitleName>
    <CaseName>מדינת ישראל נ' כהן</CaseName>
    <DecisionNumberInCase>20</DecisionNumberInCase>
  </dt_Decision>
  <dt_DecisionCase>
    <DecisionID>0</DecisionID>
    <CaseID>79450743</CaseID>
    <CaseJudicialPersonPresentationDS>
      <CaseJudicalPersonActive>
        <CaseID>79450743</CaseID>
        <JudicialPersonID>013800818@GOV.IL</JudicialPersonID>
        <JudicialPersonTypeID>1</JudicialPersonTypeID>
        <JudicialTypeID>1</JudicialTypeID>
        <IsChairman>false</IsChairman>
        <TreatmentStartDate>2023-01-01T15:10:32.78+02:00</TreatmentStartDate>
        <TreatmentFinishDate>9999-12-31T23:59:59.997+02:00</TreatmentFinishDate>
        <IdentificationCardNumber>013800818</IdentificationCardNumber>
        <DisplayName>פאול שטרק</DisplayName>
        <JudicialTypeName>שופט</JudicialTypeName>
        <CaseJudicialGroupNumber>0</CaseJudicialGroupNumber>
        <FirstName>פאול</FirstName>
        <LastName>שטרק</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אחר</RoleName>
        <IsSubProceeding>FALSE</IsSubProceeding>
        <FullName>מחלקה לחקירות שוטרים - מח"ש</FullName>
        <LastName>מחלקה לחקירות שוטרים - מח"ש</LastName>
        <PartyPropertyName/>
        <AuthenticationTypeAndNumber>משרדי ממשלה 570000778</AuthenticationTypeAndNumber>
        <RepresentatedOrRepresentativesNames/>
        <RepresentatedOrRepresentativesCount>0</RepresentatedOrRepresentativesCount>
        <InvitedBy/>
        <CaseID>79450743</CaseID>
        <CaseJudicialPersonPresentationDS>
          <CaseJudicalPersonActive>
            <CaseID>79450743</CaseID>
            <JudicialPersonID>013800818@GOV.IL</JudicialPersonID>
            <JudicialPersonTypeID>1</JudicialPersonTypeID>
            <JudicialTypeID>1</JudicialTypeID>
            <IsChairman>false</IsChairman>
            <TreatmentStartDate>2023-01-01T15:10:32.78+02:00</TreatmentStartDate>
            <TreatmentFinishDate>9999-12-31T23:59:59.997+02:00</TreatmentFinishDate>
            <IdentificationCardNumber>013800818</IdentificationCardNumber>
            <DisplayName>פאול שטרק</DisplayName>
            <JudicialTypeName>שופט</JudicialTypeName>
            <CaseJudicialGroupNumber>0</CaseJudicialGroupNumber>
            <FirstName>פאול</FirstName>
            <LastName>שטרק</LastName>
            <JudicialPersonTitle>שופט</JudicialPersonTitle>
          </CaseJudicalPersonActive>
        </CaseJudicialPersonPresentationDS>
        <CasePartyID>268468200</CasePartyID>
        <PartyTypeID>3</PartyTypeID>
        <ActivityStatusID>1</ActivityStatusID>
        <LegalEntityID>21034082</LegalEntityID>
        <CaseLegalEntityID>128377902</CaseLegalEntityID>
        <AssistantRoleID>33</AssistantRoleID>
        <AuthenticationTypeID>13</AuthenticationTypeID>
        <AuthenticationTypeName>משרדי ממשלה</AuthenticationTypeName>
        <LegalEntityNumber>570000778</LegalEntityNumber>
        <IsMainPartyType>true</IsMainPartyType>
        <CaseDisplayIdentifier>35828-07-22</CaseDisplayIdentifier>
        <CaseTypeID>10048</CaseTypeID>
        <CaseTypeName>תיק פלילי (ת"פ)</CaseTypeName>
        <CaseName>מדינת ישראל נ' כהן</CaseName>
        <FullAddress>ת.ד 45208 ירושלים הרטום 8 הר החוצבים</FullAddress>
        <MotionID>0</MotionID>
        <CasePleaID>0</CasePleaID>
        <LinkedCaseID>0</LinkedCaseID>
        <PartyID>1</PartyID>
        <CasePartyCategoryID>2</CasePartyCategoryID>
        <LegalEntityAddressID>33486458</LegalEntityAddressID>
        <PleaTypeID>8</PleaTypeID>
        <GroupPartyAlias/>
        <IsConverted>false</IsConverted>
        <LegalEntityRegisteredNameID>1807746</LegalEntityRegisteredNameID>
        <RepresentatedNamesOfAssistant/>
        <LegalEntityTypeID>3</LegalEntityTypeID>
        <IsVerdictExists>false</IsVerdictExists>
        <IsAsirAzir>false</IsAsirAzir>
        <IsPublicationProhibited>false</IsPublicationProhibited>
        <PublicationProhibitedFullName>מחלקה לחקירות שוטרים - מח"ש</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יפתח לנדאו</FullName>
        <FirstName>יפתח</FirstName>
        <LastName>לנדאו</LastName>
        <PartyPropertyName/>
        <AuthenticationTypeAndNumber>מ.ר. 64699</AuthenticationTypeAndNumber>
        <RepresentatedOrRepresentativesNames>ליאור כהן</RepresentatedOrRepresentativesNames>
        <RepresentatedOrRepresentativesCount>1</RepresentatedOrRepresentativesCount>
        <InvitedBy/>
        <CaseID>79450743</CaseID>
        <CaseJudicialPersonPresentationDS>
          <CaseJudicalPersonActive>
            <CaseID>79450743</CaseID>
            <JudicialPersonID>013800818@GOV.IL</JudicialPersonID>
            <JudicialPersonTypeID>1</JudicialPersonTypeID>
            <JudicialTypeID>1</JudicialTypeID>
            <IsChairman>false</IsChairman>
            <TreatmentStartDate>2023-01-01T15:10:32.78+02:00</TreatmentStartDate>
            <TreatmentFinishDate>9999-12-31T23:59:59.997+02:00</TreatmentFinishDate>
            <IdentificationCardNumber>013800818</IdentificationCardNumber>
            <DisplayName>פאול שטרק</DisplayName>
            <JudicialTypeName>שופט</JudicialTypeName>
            <CaseJudicialGroupNumber>0</CaseJudicialGroupNumber>
            <FirstName>פאול</FirstName>
            <LastName>שטרק</LastName>
            <JudicialPersonTitle>שופט</JudicialPersonTitle>
          </CaseJudicalPersonActive>
        </CaseJudicialPersonPresentationDS>
        <CasePartyID>244985092</CasePartyID>
        <PartyTypeID>2</PartyTypeID>
        <ActivityStatusID>1</ActivityStatusID>
        <PartyAliasID>32</PartyAliasID>
        <PartyAliasName>בא כוח נאשמים</PartyAliasName>
        <LegalEntityID>73470798</LegalEntityID>
        <CaseLegalEntityID>121023955</CaseLegalEntityID>
        <AuthenticationTypeID>4</AuthenticationTypeID>
        <AuthenticationTypeName>מ.ר.</AuthenticationTypeName>
        <LegalEntityNumber>64699</LegalEntityNumber>
        <IsMainPartyType>true</IsMainPartyType>
        <CaseDisplayIdentifier>35828-07-22</CaseDisplayIdentifier>
        <CaseTypeID>10048</CaseTypeID>
        <CaseTypeName>תיק פלילי (ת"פ)</CaseTypeName>
        <CaseName>מדינת ישראל נ' כהן</CaseName>
        <FullAddress>תקוע 290 תקוע </FullAddress>
        <EmailAddress>ylbeka@gmail.com</EmailAddress>
        <MotionID>0</MotionID>
        <CasePleaID>0</CasePleaID>
        <LinkedCaseID>0</LinkedCaseID>
        <PartyID>2</PartyID>
        <CasePartyCategoryID>2</CasePartyCategoryID>
        <LegalEntityAddressID>75848543</LegalEntityAddressID>
        <LegalEntityEmailAddressID>67860792</LegalEntityEmailAddressID>
        <PleaTypeID>8</PleaTypeID>
        <LawyerOfficeName>משרד עו"ד יפתח לנדאו</LawyerOfficeName>
        <LawyerOfficeID>73470799</LawyerOfficeID>
        <GroupPartyAlias/>
        <IsConverted>false</IsConverted>
        <LegalEntityNameID>78226228</LegalEntityNameID>
        <RepresentatedNamesOfAssistant/>
        <LegalEntityTypeID>4</LegalEntityTypeID>
        <IsVerdictExists>false</IsVerdictExists>
        <IsAsirAzir>false</IsAsirAzir>
        <IsPublicationProhibited>false</IsPublicationProhibited>
        <PublicationProhibitedFullName>יפתח לנדאו</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יהודה בלבן</RepresentatedOrRepresentativesNames>
        <RepresentatedOrRepresentativesCount>1</RepresentatedOrRepresentativesCount>
        <InvitedBy/>
        <CaseID>79450743</CaseID>
        <CaseJudicialPersonPresentationDS>
          <CaseJudicalPersonActive>
            <CaseID>79450743</CaseID>
            <JudicialPersonID>013800818@GOV.IL</JudicialPersonID>
            <JudicialPersonTypeID>1</JudicialPersonTypeID>
            <JudicialTypeID>1</JudicialTypeID>
            <IsChairman>false</IsChairman>
            <TreatmentStartDate>2023-01-01T15:10:32.78+02:00</TreatmentStartDate>
            <TreatmentFinishDate>9999-12-31T23:59:59.997+02:00</TreatmentFinishDate>
            <IdentificationCardNumber>013800818</IdentificationCardNumber>
            <DisplayName>פאול שטרק</DisplayName>
            <JudicialTypeName>שופט</JudicialTypeName>
            <CaseJudicialGroupNumber>0</CaseJudicialGroupNumber>
            <FirstName>פאול</FirstName>
            <LastName>שטרק</LastName>
            <JudicialPersonTitle>שופט</JudicialPersonTitle>
          </CaseJudicalPersonActive>
        </CaseJudicialPersonPresentationDS>
        <CasePartyID>243758764</CasePartyID>
        <PartyTypeID>1</PartyTypeID>
        <ActivityStatusID>1</ActivityStatusID>
        <PartyAliasID>11</PartyAliasID>
        <PartyAliasName>מאשימה</PartyAliasName>
        <OrdinalNumber>1</OrdinalNumber>
        <LegalEntityID>4</LegalEntityID>
        <CaseLegalEntityID>120589130</CaseLegalEntityID>
        <AuthenticationTypeID>41</AuthenticationTypeID>
        <AuthenticationTypeName>מדינת ישראל </AuthenticationTypeName>
        <LegalEntityNumber/>
        <IsMainPartyType>true</IsMainPartyType>
        <CaseDisplayIdentifier>35828-07-22</CaseDisplayIdentifier>
        <CaseTypeID>10048</CaseTypeID>
        <CaseTypeName>תיק פלילי (ת"פ)</CaseTypeName>
        <CaseName>מדינת ישראל נ' כהן</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יהודה בלבן</FullName>
        <FirstName>יהודה</FirstName>
        <LastName>בלבן</LastName>
        <PartyPropertyName/>
        <AuthenticationTypeAndNumber>מ.ר. 15065</AuthenticationTypeAndNumber>
        <RepresentatedOrRepresentativesNames xml:space="preserve"> </RepresentatedOrRepresentativesNames>
        <RepresentatedOrRepresentativesCount>1</RepresentatedOrRepresentativesCount>
        <InvitedBy/>
        <CaseID>79450743</CaseID>
        <CaseJudicialPersonPresentationDS>
          <CaseJudicalPersonActive>
            <CaseID>79450743</CaseID>
            <JudicialPersonID>013800818@GOV.IL</JudicialPersonID>
            <JudicialPersonTypeID>1</JudicialPersonTypeID>
            <JudicialTypeID>1</JudicialTypeID>
            <IsChairman>false</IsChairman>
            <TreatmentStartDate>2023-01-01T15:10:32.78+02:00</TreatmentStartDate>
            <TreatmentFinishDate>9999-12-31T23:59:59.997+02:00</TreatmentFinishDate>
            <IdentificationCardNumber>013800818</IdentificationCardNumber>
            <DisplayName>פאול שטרק</DisplayName>
            <JudicialTypeName>שופט</JudicialTypeName>
            <CaseJudicialGroupNumber>0</CaseJudicialGroupNumber>
            <FirstName>פאול</FirstName>
            <LastName>שטרק</LastName>
            <JudicialPersonTitle>שופט</JudicialPersonTitle>
          </CaseJudicalPersonActive>
        </CaseJudicialPersonPresentationDS>
        <CasePartyID>243758765</CasePartyID>
        <PartyTypeID>2</PartyTypeID>
        <ActivityStatusID>1</ActivityStatusID>
        <PartyAliasID>30</PartyAliasID>
        <PartyAliasName>בא כוח מאשימה</PartyAliasName>
        <OrdinalNumber>1</OrdinalNumber>
        <LegalEntityID>15881033</LegalEntityID>
        <CaseLegalEntityID>120589131</CaseLegalEntityID>
        <AuthenticationTypeID>4</AuthenticationTypeID>
        <AuthenticationTypeName>מ.ר.</AuthenticationTypeName>
        <LegalEntityNumber>15065</LegalEntityNumber>
        <IsMainPartyType>true</IsMainPartyType>
        <CaseDisplayIdentifier>35828-07-22</CaseDisplayIdentifier>
        <CaseTypeID>10048</CaseTypeID>
        <CaseTypeName>תיק פלילי (ת"פ)</CaseTypeName>
        <CaseName>מדינת ישראל נ' כהן</CaseName>
        <FullAddress>יפו 30 ירושלים </FullAddress>
        <MotionID>0</MotionID>
        <CasePleaID>0</CasePleaID>
        <LinkedCaseID>0</LinkedCaseID>
        <PartyID>1</PartyID>
        <CasePartyCategoryID>2</CasePartyCategoryID>
        <LegalEntityAddressID>379270</LegalEntityAddressID>
        <PleaTypeID>8</PleaTypeID>
        <LawyerOfficeName>משטרה - תביעות מחוז ירושלים </LawyerOfficeName>
        <LawyerOfficeID>379138</LawyerOfficeID>
        <GroupPartyAlias/>
        <IsConverted>false</IsConverted>
        <LegalEntityNameID>17528134</LegalEntityNameID>
        <RepresentatedNamesOfAssistant/>
        <LegalEntityTypeID>4</LegalEntityTypeID>
        <IsVerdictExists>false</IsVerdictExists>
        <IsAsirAzir>false</IsAsirAzir>
        <IsPublicationProhibited>false</IsPublicationProhibited>
        <PublicationProhibitedFullName>יהודה בלבן</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ליאור כהן</FullName>
        <FirstName>ליאור</FirstName>
        <LastName>כהן</LastName>
        <PartyPropertyName/>
        <AuthenticationTypeAndNumber>ת"ז 038337812</AuthenticationTypeAndNumber>
        <RepresentatedOrRepresentativesNames>יפתח לנדאו</RepresentatedOrRepresentativesNames>
        <RepresentatedOrRepresentativesCount>1</RepresentatedOrRepresentativesCount>
        <InvitedBy/>
        <CaseID>79450743</CaseID>
        <CaseJudicialPersonPresentationDS>
          <CaseJudicalPersonActive>
            <CaseID>79450743</CaseID>
            <JudicialPersonID>013800818@GOV.IL</JudicialPersonID>
            <JudicialPersonTypeID>1</JudicialPersonTypeID>
            <JudicialTypeID>1</JudicialTypeID>
            <IsChairman>false</IsChairman>
            <TreatmentStartDate>2023-01-01T15:10:32.78+02:00</TreatmentStartDate>
            <TreatmentFinishDate>9999-12-31T23:59:59.997+02:00</TreatmentFinishDate>
            <IdentificationCardNumber>013800818</IdentificationCardNumber>
            <DisplayName>פאול שטרק</DisplayName>
            <JudicialTypeName>שופט</JudicialTypeName>
            <CaseJudicialGroupNumber>0</CaseJudicialGroupNumber>
            <FirstName>פאול</FirstName>
            <LastName>שטרק</LastName>
            <JudicialPersonTitle>שופט</JudicialPersonTitle>
          </CaseJudicalPersonActive>
        </CaseJudicialPersonPresentationDS>
        <CasePartyID>243758766</CasePartyID>
        <PartyTypeID>1</PartyTypeID>
        <ActivityStatusID>1</ActivityStatusID>
        <PartyAliasID>13</PartyAliasID>
        <PartyAliasName>נאשם</PartyAliasName>
        <OrdinalNumber>1</OrdinalNumber>
        <LegalEntityID>69898753</LegalEntityID>
        <CaseLegalEntityID>120589132</CaseLegalEntityID>
        <AuthenticationTypeID>1</AuthenticationTypeID>
        <AuthenticationTypeName>ת"ז</AuthenticationTypeName>
        <LegalEntityNumber>038337812</LegalEntityNumber>
        <IsMainPartyType>true</IsMainPartyType>
        <CaseDisplayIdentifier>35828-07-22</CaseDisplayIdentifier>
        <CaseTypeID>10048</CaseTypeID>
        <CaseTypeName>תיק פלילי (ת"פ)</CaseTypeName>
        <CaseName>מדינת ישראל נ' כהן</CaseName>
        <FullAddress>ניקובה רינה 2 ירושלים </FullAddress>
        <MotionID>0</MotionID>
        <CasePleaID>0</CasePleaID>
        <BirthDate>1976-01-02T00:00:00+02:00</BirthDate>
        <FatherName>רחמים</FatherName>
        <LinkedCaseID>0</LinkedCaseID>
        <PartyID>2</PartyID>
        <CasePartyCategoryID>2</CasePartyCategoryID>
        <LegalEntityAddressID>86761802</LegalEntityAddressID>
        <FictitiousPoliceNumber/>
        <PleaTypeID>8</PleaTypeID>
        <GroupPartyAlias>נאשמים</GroupPartyAlias>
        <IsConverted>false</IsConverted>
        <LegalEntityRegisteredNameID>2365037</LegalEntityRegisteredNameID>
        <LegalEntityNameID>93422555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ליאור כהן</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ירושלים</FullName>
        <LastName>שרות מבחן למבוגרים - ירושלים</LastName>
        <PartyPropertyName/>
        <AuthenticationTypeAndNumber>משרדי ממשלה 500106275</AuthenticationTypeAndNumber>
        <RepresentatedOrRepresentativesNames/>
        <RepresentatedOrRepresentativesCount>0</RepresentatedOrRepresentativesCount>
        <InvitedBy/>
        <CaseID>79450743</CaseID>
        <CaseJudicialPersonPresentationDS>
          <CaseJudicalPersonActive>
            <CaseID>79450743</CaseID>
            <JudicialPersonID>013800818@GOV.IL</JudicialPersonID>
            <JudicialPersonTypeID>1</JudicialPersonTypeID>
            <JudicialTypeID>1</JudicialTypeID>
            <IsChairman>false</IsChairman>
            <TreatmentStartDate>2023-01-01T15:10:32.78+02:00</TreatmentStartDate>
            <TreatmentFinishDate>9999-12-31T23:59:59.997+02:00</TreatmentFinishDate>
            <IdentificationCardNumber>013800818</IdentificationCardNumber>
            <DisplayName>פאול שטרק</DisplayName>
            <JudicialTypeName>שופט</JudicialTypeName>
            <CaseJudicialGroupNumber>0</CaseJudicialGroupNumber>
            <FirstName>פאול</FirstName>
            <LastName>שטרק</LastName>
            <JudicialPersonTitle>שופט</JudicialPersonTitle>
          </CaseJudicalPersonActive>
        </CaseJudicialPersonPresentationDS>
        <CasePartyID>243758763</CasePartyID>
        <PartyTypeID>3</PartyTypeID>
        <ActivityStatusID>1</ActivityStatusID>
        <OrdinalNumber>2</OrdinalNumber>
        <LegalEntityID>2116683</LegalEntityID>
        <CaseLegalEntityID>120589129</CaseLegalEntityID>
        <AssistantRoleID>14</AssistantRoleID>
        <AuthenticationTypeID>13</AuthenticationTypeID>
        <AuthenticationTypeName>משרדי ממשלה</AuthenticationTypeName>
        <LegalEntityNumber>500106275</LegalEntityNumber>
        <IsMainPartyType>true</IsMainPartyType>
        <CaseDisplayIdentifier>35828-07-22</CaseDisplayIdentifier>
        <CaseTypeID>10048</CaseTypeID>
        <CaseTypeName>תיק פלילי (ת"פ)</CaseTypeName>
        <CaseName>מדינת ישראל נ' כהן</CaseName>
        <FullAddress>רח' יפו 236 ירושלים מגדל דניאל</FullAddress>
        <EmailAddress>f2m_025085782@molsa.gov.il</EmailAddress>
        <MotionID>0</MotionID>
        <CasePleaID>0</CasePleaID>
        <LinkedCaseID>0</LinkedCaseID>
        <CasePartyCategoryID>2</CasePartyCategoryID>
        <LegalEntityAddressID>7615788</LegalEntityAddressID>
        <LegalEntityEmailAddressID>67904629</LegalEntityEmailAddressID>
        <PleaTypeID>8</PleaTypeID>
        <GroupPartyAlias/>
        <IsConverted>false</IsConverted>
        <LegalEntityRegisteredNameID>335181</LegalEntityRegisteredNameID>
        <RepresentatedNamesOfAssistant/>
        <LegalEntityTypeID>3</LegalEntityTypeID>
        <IsVerdictExists>false</IsVerdictExists>
        <IsAsirAzir>false</IsAsirAzir>
        <IsPublicationProhibited>false</IsPublicationProhibited>
        <PublicationProhibitedFullName>שרות מבחן למבוגרים - ירושלים</PublicationProhibitedFullName>
      </CaseParties>
    </CasePartiesSelectionDS>
    <CaseName>מדינת ישראל נ' כהן</CaseName>
    <CaseDisplayIdentifier>35828-07-22</CaseDisplayIdentifier>
    <CaseTypeShortName>ת"פ</CaseTypeShortName>
  </dt_DecisionCase>
  <dt_DecisionJudgePanel>
    <JudgeID>013800818@GOV.IL</JudgeID>
    <DisplayName>פאול שטרק</DisplayName>
    <RoleName>שופט</RoleName>
    <UserTitleName>שופט</UserTitleName>
  </dt_DecisionJudgePanel>
  <dt_LegalEntityDetails>
    <Fax>077-3179184</Fax>
    <PartyID>2</PartyID>
    <PartyTypeID>2</PartyTypeID>
    <DecisionID>0</DecisionID>
    <StreetName>תקוע 290</StreetName>
    <ZipCode>90908</ZipCode>
    <CityName>תקוע</CityName>
    <FullName>יפתח לנדאו</FullName>
    <Email>ylbeka@gmail.com</Email>
    <IsPublicationProhibited>false</IsPublicationProhibited>
  </dt_LegalEntityDetails>
  <dt_LegalEntityDetails>
    <Fax>02-6467794</Fax>
    <Phone>02-5412458</Phone>
    <AddressDesc>הרטום 8 הר החוצבים</AddressDesc>
    <PartyID>1</PartyID>
    <PartyTypeID>3</PartyTypeID>
    <DecisionID>0</DecisionID>
    <AssistantRoleID>33</AssistantRoleID>
    <StreetName>ת.ד 45208</StreetName>
    <ZipCode>91450</ZipCode>
    <CityName>ירושלים</CityName>
    <FullName> מחלקה לחקירות שוטרים - מח"ש</FullName>
    <Email/>
    <IsPublicationProhibited>false</IsPublicationProhibited>
  </dt_LegalEntityDetails>
  <dt_LegalEntityDetails>
    <PartyID>1</PartyID>
    <PartyTypeID>1</PartyTypeID>
    <DecisionID>0</DecisionID>
    <IsPublicationProhibited>false</IsPublicationProhibited>
  </dt_LegalEntityDetails>
  <dt_LegalEntityDetails>
    <Fax>02-5898973</Fax>
    <Phone>02-5391671</Phone>
    <PartyID>1</PartyID>
    <PartyTypeID>2</PartyTypeID>
    <DecisionID>0</DecisionID>
    <StreetName>יפו 30 </StreetName>
    <CityName>ירושלים</CityName>
    <FullName>יהודה בלבן</FullName>
    <IsPublicationProhibited>false</IsPublicationProhibited>
  </dt_LegalEntityDetails>
  <dt_LegalEntityDetails>
    <PartyID>2</PartyID>
    <PartyTypeID>1</PartyTypeID>
    <DecisionID>0</DecisionID>
    <StreetName>ניקובה רינה 2</StreetName>
    <CityName>ירושלים</CityName>
    <FullName>ליאור כהן</FullName>
    <IsPublicationProhibited>false</IsPublicationProhibited>
  </dt_LegalEntityDetails>
  <dt_LegalEntityDetails>
    <Fax>02-5085782</Fax>
    <Phone>02-5310400</Phone>
    <AddressDesc>מגדל דניאל</AddressDesc>
    <PartyTypeID>3</PartyTypeID>
    <DecisionID>0</DecisionID>
    <AssistantRoleID>14</AssistantRoleID>
    <StreetName>רח' יפו 236</StreetName>
    <ZipCode>91366</ZipCode>
    <CityName>ירושלים</CityName>
    <FullName> שרות מבחן למבוגרים - ירושלים</FullName>
    <Email>f2m_025085782@molsa.gov.il</Email>
    <IsPublicationProhibited>false</IsPublicationProhibited>
  </dt_LegalEntityDetails>
  <dt_CaseJudicalPersonActive>
    <CaseJudicalPerson>שופט פאול שטרק</CaseJudicalPerson>
  </dt_CaseJudicalPersonActive>
  <dt_Sitting>
    <PreviousMeetingDate>2024-03-26T09:00:00+02:00</PreviousMeetingDate>
    <PreviousSittingTypeID>4</PreviousSittingTypeID>
    <PreviousMeetingDisplayName>שופט פאול שטרק</PreviousMeetingDisplayName>
    <PreviousMeetingRoleName>שופט</PreviousMeetingRoleName>
    <PreviousMeetingUserTitleName>שופט</PreviousMeetingUserTitleName>
    <PreviousMeetingUserUPN>013800818@GOV.IL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E06BBC-6DD5-4E0A-BDF6-6965C5CA4373}">
  <ds:schemaRefs/>
</ds:datastoreItem>
</file>

<file path=customXml/itemProps2.xml><?xml version="1.0" encoding="utf-8"?>
<ds:datastoreItem xmlns:ds="http://schemas.openxmlformats.org/officeDocument/2006/customXml" ds:itemID="{0048BDAC-0874-4B2F-99E7-029BD0743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2026</Words>
  <Characters>10135</Characters>
  <Application>Microsoft Office Word</Application>
  <DocSecurity>0</DocSecurity>
  <Lines>84</Lines>
  <Paragraphs>24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2024-05-26T09:42:00Z</dcterms:created>
  <dcterms:modified xsi:type="dcterms:W3CDTF">2024-05-26T09:42:00Z</dcterms:modified>
</cp:coreProperties>
</file>